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B71681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FE2478" w:rsidRPr="00FE2478">
        <w:rPr>
          <w:bCs/>
          <w:noProof w:val="0"/>
          <w:sz w:val="24"/>
          <w:szCs w:val="24"/>
        </w:rPr>
        <w:t>R2-1900348</w:t>
      </w:r>
    </w:p>
    <w:p w14:paraId="231362B2" w14:textId="7A4B51D4"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CE44A0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962D7" w:rsidRPr="00F962D7">
        <w:rPr>
          <w:rFonts w:cs="Arial"/>
          <w:b/>
          <w:bCs/>
          <w:sz w:val="24"/>
          <w:lang w:eastAsia="ja-JP"/>
        </w:rPr>
        <w:t>10.4.1.3.1</w:t>
      </w:r>
      <w:bookmarkStart w:id="0" w:name="_GoBack"/>
      <w:bookmarkEnd w:id="0"/>
    </w:p>
    <w:p w14:paraId="6A1BC0C1" w14:textId="6812B8E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172F3A">
        <w:rPr>
          <w:rFonts w:ascii="Arial" w:hAnsi="Arial" w:cs="Arial"/>
          <w:b/>
          <w:bCs/>
          <w:sz w:val="24"/>
        </w:rPr>
        <w:t xml:space="preserve">, </w:t>
      </w:r>
      <w:r w:rsidR="00007C6F">
        <w:rPr>
          <w:rFonts w:ascii="Arial" w:hAnsi="Arial" w:cs="Arial"/>
          <w:b/>
          <w:bCs/>
          <w:sz w:val="24"/>
        </w:rPr>
        <w:t>ZTE Corporation, Sanechips, Ericsson, Qualcom Incorporated, Intel</w:t>
      </w:r>
      <w:r w:rsidR="00CD3E92">
        <w:rPr>
          <w:rFonts w:ascii="Arial" w:hAnsi="Arial" w:cs="Arial"/>
          <w:b/>
          <w:bCs/>
          <w:sz w:val="24"/>
        </w:rPr>
        <w:t xml:space="preserve"> Corporation</w:t>
      </w:r>
      <w:r w:rsidR="00007C6F">
        <w:rPr>
          <w:rFonts w:ascii="Arial" w:hAnsi="Arial" w:cs="Arial"/>
          <w:b/>
          <w:bCs/>
          <w:sz w:val="24"/>
        </w:rPr>
        <w:t>, NTT DOCOMO</w:t>
      </w:r>
    </w:p>
    <w:p w14:paraId="45BE90BE" w14:textId="1B8A6A0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2F3A">
        <w:rPr>
          <w:rFonts w:ascii="Arial" w:hAnsi="Arial" w:cs="Arial"/>
          <w:b/>
          <w:bCs/>
          <w:sz w:val="24"/>
        </w:rPr>
        <w:t>Clarifying the BWP configuration options 1</w:t>
      </w:r>
      <w:r w:rsidR="00343E54">
        <w:rPr>
          <w:rFonts w:ascii="Arial" w:hAnsi="Arial" w:cs="Arial"/>
          <w:b/>
          <w:bCs/>
          <w:sz w:val="24"/>
        </w:rPr>
        <w:t xml:space="preserve"> </w:t>
      </w:r>
      <w:r w:rsidR="00172F3A">
        <w:rPr>
          <w:rFonts w:ascii="Arial" w:hAnsi="Arial" w:cs="Arial"/>
          <w:b/>
          <w:bCs/>
          <w:sz w:val="24"/>
        </w:rPr>
        <w:t>&amp;</w:t>
      </w:r>
      <w:r w:rsidR="00343E54">
        <w:rPr>
          <w:rFonts w:ascii="Arial" w:hAnsi="Arial" w:cs="Arial"/>
          <w:b/>
          <w:bCs/>
          <w:sz w:val="24"/>
        </w:rPr>
        <w:t xml:space="preserve"> </w:t>
      </w:r>
      <w:r w:rsidR="00172F3A">
        <w:rPr>
          <w:rFonts w:ascii="Arial" w:hAnsi="Arial" w:cs="Arial"/>
          <w:b/>
          <w:bCs/>
          <w:sz w:val="24"/>
        </w:rPr>
        <w:t>2</w:t>
      </w:r>
      <w:r w:rsidR="00343E54">
        <w:rPr>
          <w:rFonts w:ascii="Arial" w:hAnsi="Arial" w:cs="Arial"/>
          <w:b/>
          <w:bCs/>
          <w:sz w:val="24"/>
        </w:rPr>
        <w:t xml:space="preserve"> in RRC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EFB861D" w14:textId="6FF7F5F3" w:rsidR="00172F3A" w:rsidRDefault="00172F3A" w:rsidP="00CD4C7B">
      <w:r>
        <w:t xml:space="preserve">RAN2 has decided to have two different BWP configurations options (called option 1 &amp;2) as mandatory </w:t>
      </w:r>
      <w:r w:rsidR="00E567DC">
        <w:t>for all UEs (as per RAN2 NR-AH#4</w:t>
      </w:r>
      <w:r>
        <w:t xml:space="preserve"> in June 2018), but these options are not very well described anywhere, nor is it clear how the</w:t>
      </w:r>
      <w:r w:rsidR="009E02D9">
        <w:t>y</w:t>
      </w:r>
      <w:r>
        <w:t xml:space="preserve"> are defined (the RRC itself contains restrictions within ASN.1, but it may not be clear how they all work together). To ensure no IODT issues appear, we discuss how to ensure the usage of both configuration options could be clarified in RAN2 specifications.</w:t>
      </w:r>
    </w:p>
    <w:p w14:paraId="127ACA6D" w14:textId="5D198863" w:rsidR="00CD4C7B" w:rsidRPr="006E13D1" w:rsidRDefault="00CD4C7B" w:rsidP="00CD4C7B">
      <w:pPr>
        <w:pStyle w:val="Heading1"/>
      </w:pPr>
      <w:r w:rsidRPr="006E13D1">
        <w:t>2</w:t>
      </w:r>
      <w:r w:rsidRPr="006E13D1">
        <w:tab/>
      </w:r>
      <w:r w:rsidR="00172F3A">
        <w:t>BWP configuration options 1 &amp; 2</w:t>
      </w:r>
    </w:p>
    <w:p w14:paraId="1EC494EB" w14:textId="7EC20C6C" w:rsidR="00AF0E36" w:rsidRDefault="00AF0E36" w:rsidP="00AF0E36">
      <w:pPr>
        <w:pStyle w:val="Heading2"/>
      </w:pPr>
      <w:r>
        <w:t>2</w:t>
      </w:r>
      <w:r w:rsidRPr="006E13D1">
        <w:t>.</w:t>
      </w:r>
      <w:r>
        <w:t>0</w:t>
      </w:r>
      <w:r w:rsidRPr="006E13D1">
        <w:tab/>
      </w:r>
      <w:r>
        <w:t>Definitions of BWP configuration options</w:t>
      </w:r>
    </w:p>
    <w:p w14:paraId="7563867D" w14:textId="3B372B1C" w:rsidR="00AF0E36" w:rsidRDefault="00AF0E36" w:rsidP="00AF0E36">
      <w:r>
        <w:t>The two BWP configuration options were agreed as mandatory in , and were defined as follows</w:t>
      </w:r>
      <w:r w:rsidR="00E567DC">
        <w:t xml:space="preserve"> in RAN2#102 (see </w:t>
      </w:r>
      <w:hyperlink r:id="rId13" w:history="1">
        <w:r w:rsidR="00E567DC">
          <w:rPr>
            <w:rStyle w:val="Hyperlink"/>
          </w:rPr>
          <w:t>R2-1807390</w:t>
        </w:r>
      </w:hyperlink>
      <w:r w:rsidR="00E567DC">
        <w:t>)</w:t>
      </w:r>
      <w:r>
        <w:t>:</w:t>
      </w:r>
    </w:p>
    <w:p w14:paraId="29D5D0CF" w14:textId="16A36484" w:rsidR="00AF0E36" w:rsidRDefault="00AF0E36" w:rsidP="00AF0E36">
      <w:pPr>
        <w:spacing w:after="0"/>
        <w:ind w:left="284"/>
        <w:rPr>
          <w:rFonts w:eastAsia="Yu Gothic"/>
          <w:highlight w:val="cyan"/>
          <w:lang w:val="en-US" w:eastAsia="ja-JP"/>
        </w:rPr>
      </w:pPr>
      <w:r w:rsidRPr="00795579">
        <w:rPr>
          <w:rFonts w:eastAsia="Yu Gothic"/>
          <w:b/>
          <w:bCs/>
          <w:highlight w:val="cyan"/>
          <w:lang w:val="en-US" w:eastAsia="ja-JP"/>
        </w:rPr>
        <w:t>Option 1:</w:t>
      </w:r>
      <w:r w:rsidRPr="00795579">
        <w:rPr>
          <w:rFonts w:eastAsia="Yu Gothic"/>
          <w:highlight w:val="cyan"/>
          <w:lang w:val="en-US" w:eastAsia="ja-JP"/>
        </w:rPr>
        <w:t xml:space="preserve"> </w:t>
      </w:r>
      <w:r w:rsidRPr="00795579">
        <w:rPr>
          <w:rFonts w:eastAsia="Yu Gothic"/>
          <w:i/>
          <w:iCs/>
          <w:highlight w:val="cyan"/>
          <w:lang w:val="en-US" w:eastAsia="ja-JP"/>
        </w:rPr>
        <w:t xml:space="preserve">BWP-DownlinkCommon/UplinkCommon </w:t>
      </w:r>
      <w:r w:rsidRPr="00795579">
        <w:rPr>
          <w:rFonts w:eastAsia="Yu Gothic"/>
          <w:highlight w:val="cyan"/>
          <w:lang w:val="en-US" w:eastAsia="ja-JP"/>
        </w:rPr>
        <w:t xml:space="preserve">for </w:t>
      </w:r>
      <w:r w:rsidRPr="00795579">
        <w:rPr>
          <w:rFonts w:eastAsia="Yu Gothic"/>
          <w:i/>
          <w:iCs/>
          <w:highlight w:val="cyan"/>
          <w:lang w:val="en-US" w:eastAsia="ja-JP"/>
        </w:rPr>
        <w:t xml:space="preserve">initialDownlink/UplinkBWP </w:t>
      </w:r>
      <w:r w:rsidRPr="00795579">
        <w:rPr>
          <w:rFonts w:eastAsia="Yu Gothic"/>
          <w:highlight w:val="cyan"/>
          <w:lang w:val="en-US" w:eastAsia="ja-JP"/>
        </w:rPr>
        <w:t xml:space="preserve">(BWP ID #0) plus </w:t>
      </w:r>
      <w:r w:rsidRPr="00795579">
        <w:rPr>
          <w:rFonts w:eastAsia="Yu Gothic"/>
          <w:i/>
          <w:iCs/>
          <w:highlight w:val="cyan"/>
          <w:lang w:val="en-US" w:eastAsia="ja-JP"/>
        </w:rPr>
        <w:t>BWP-Downlink/Uplink</w:t>
      </w:r>
      <w:r w:rsidRPr="00795579">
        <w:rPr>
          <w:rFonts w:eastAsia="Yu Gothic"/>
          <w:highlight w:val="cyan"/>
          <w:lang w:val="en-US" w:eastAsia="ja-JP"/>
        </w:rPr>
        <w:t xml:space="preserve"> for one configured downlink/uplink</w:t>
      </w:r>
      <w:r w:rsidR="009E02D9">
        <w:rPr>
          <w:rFonts w:eastAsia="Yu Gothic"/>
          <w:highlight w:val="cyan"/>
          <w:lang w:val="en-US" w:eastAsia="ja-JP"/>
        </w:rPr>
        <w:t xml:space="preserve"> </w:t>
      </w:r>
      <w:r w:rsidRPr="00795579">
        <w:rPr>
          <w:rFonts w:eastAsia="Yu Gothic"/>
          <w:highlight w:val="cyan"/>
          <w:lang w:val="en-US" w:eastAsia="ja-JP"/>
        </w:rPr>
        <w:t>BWP (BWP ID #1);</w:t>
      </w:r>
    </w:p>
    <w:p w14:paraId="0AB859D6" w14:textId="77777777" w:rsidR="00AF0E36" w:rsidRPr="00795579" w:rsidRDefault="00AF0E36" w:rsidP="00AF0E36">
      <w:pPr>
        <w:spacing w:after="0"/>
        <w:ind w:left="284"/>
        <w:rPr>
          <w:rFonts w:eastAsia="Yu Gothic"/>
          <w:lang w:eastAsia="ja-JP"/>
        </w:rPr>
      </w:pPr>
      <w:r w:rsidRPr="00795579">
        <w:rPr>
          <w:rFonts w:eastAsia="Yu Gothic"/>
          <w:b/>
          <w:bCs/>
          <w:highlight w:val="cyan"/>
          <w:lang w:val="en-US" w:eastAsia="ja-JP"/>
        </w:rPr>
        <w:t>Option 2:</w:t>
      </w:r>
      <w:r w:rsidRPr="00795579">
        <w:rPr>
          <w:rFonts w:eastAsia="Yu Gothic"/>
          <w:highlight w:val="cyan"/>
          <w:lang w:val="en-US" w:eastAsia="ja-JP"/>
        </w:rPr>
        <w:t xml:space="preserve"> </w:t>
      </w:r>
      <w:r w:rsidRPr="00795579">
        <w:rPr>
          <w:rFonts w:eastAsia="Yu Gothic"/>
          <w:i/>
          <w:iCs/>
          <w:highlight w:val="cyan"/>
          <w:lang w:val="en-US" w:eastAsia="ja-JP"/>
        </w:rPr>
        <w:t xml:space="preserve">BWP-DownlinkCommon/UplinkCommon </w:t>
      </w:r>
      <w:r w:rsidRPr="00795579">
        <w:rPr>
          <w:rFonts w:eastAsia="Yu Gothic"/>
          <w:highlight w:val="cyan"/>
          <w:lang w:val="en-US" w:eastAsia="ja-JP"/>
        </w:rPr>
        <w:t xml:space="preserve">and </w:t>
      </w:r>
      <w:r w:rsidRPr="00795579">
        <w:rPr>
          <w:rFonts w:eastAsia="Yu Gothic"/>
          <w:i/>
          <w:iCs/>
          <w:highlight w:val="cyan"/>
          <w:lang w:val="en-US" w:eastAsia="ja-JP"/>
        </w:rPr>
        <w:t xml:space="preserve">BWP-DownlinkDedicated/UplinkDedicated </w:t>
      </w:r>
      <w:r w:rsidRPr="00795579">
        <w:rPr>
          <w:rFonts w:eastAsia="Yu Gothic"/>
          <w:highlight w:val="cyan"/>
          <w:lang w:val="en-US" w:eastAsia="ja-JP"/>
        </w:rPr>
        <w:t xml:space="preserve">for </w:t>
      </w:r>
      <w:r w:rsidRPr="00795579">
        <w:rPr>
          <w:rFonts w:eastAsia="Yu Gothic"/>
          <w:i/>
          <w:iCs/>
          <w:highlight w:val="cyan"/>
          <w:lang w:val="en-US" w:eastAsia="ja-JP"/>
        </w:rPr>
        <w:t xml:space="preserve">initialDownlink/UplinkBWP </w:t>
      </w:r>
      <w:r w:rsidRPr="00795579">
        <w:rPr>
          <w:rFonts w:eastAsia="Yu Gothic"/>
          <w:highlight w:val="cyan"/>
          <w:lang w:val="en-US" w:eastAsia="ja-JP"/>
        </w:rPr>
        <w:t>(BWP ID #0).</w:t>
      </w:r>
    </w:p>
    <w:p w14:paraId="72A5931C" w14:textId="1FC99689" w:rsidR="00E567DC" w:rsidRDefault="00E567DC" w:rsidP="00AF0E36"/>
    <w:p w14:paraId="13A0C324" w14:textId="1C8708E5" w:rsidR="00884A30" w:rsidRDefault="00884A30" w:rsidP="00AF0E36">
      <w:r>
        <w:t xml:space="preserve">These definitions are quite simple but are given at “high level” in the sense that the IEs contained within do allow some duplication of the same fields, which may require further clarifications (as we </w:t>
      </w:r>
      <w:r w:rsidR="00F930FF">
        <w:t xml:space="preserve">further </w:t>
      </w:r>
      <w:r>
        <w:t xml:space="preserve">discuss in </w:t>
      </w:r>
      <w:r w:rsidR="00F930FF">
        <w:t>section 2.3).</w:t>
      </w:r>
      <w:r>
        <w:t xml:space="preserve">The main conclusion one can make from </w:t>
      </w:r>
      <w:r w:rsidR="009E02D9">
        <w:t>the</w:t>
      </w:r>
      <w:r>
        <w:t xml:space="preserve"> RRC specification is that the </w:t>
      </w:r>
      <w:r w:rsidR="006A126E">
        <w:t xml:space="preserve">high-level principles of the </w:t>
      </w:r>
      <w:r>
        <w:t>configuration options are not clearly defined anywhere, so it is only possible to distinguish them by reading the ASN.1 conditions and earlier contributions.</w:t>
      </w:r>
    </w:p>
    <w:p w14:paraId="557CAFBC" w14:textId="086032BC" w:rsidR="00884A30" w:rsidRDefault="00884A30" w:rsidP="00AF0E36">
      <w:r w:rsidRPr="00884A30">
        <w:rPr>
          <w:b/>
        </w:rPr>
        <w:t>Observation 1:</w:t>
      </w:r>
      <w:r>
        <w:t xml:space="preserve"> The BWP configuration options </w:t>
      </w:r>
      <w:r w:rsidR="001B5AC6">
        <w:t xml:space="preserve">are </w:t>
      </w:r>
      <w:r w:rsidR="006A126E">
        <w:t xml:space="preserve">only </w:t>
      </w:r>
      <w:r>
        <w:t xml:space="preserve">defined </w:t>
      </w:r>
      <w:r w:rsidR="006A126E">
        <w:t xml:space="preserve">via field descriptions </w:t>
      </w:r>
      <w:r>
        <w:t>in RRC.</w:t>
      </w:r>
    </w:p>
    <w:p w14:paraId="3B58AB92" w14:textId="1859CDF1" w:rsidR="00884A30" w:rsidRDefault="00884A30" w:rsidP="00AF0E36">
      <w:r w:rsidRPr="00884A30">
        <w:rPr>
          <w:b/>
        </w:rPr>
        <w:t>Proposal 1:</w:t>
      </w:r>
      <w:r>
        <w:t xml:space="preserve"> Capture the description and principles of the BWP configuration options in RRC specifications.</w:t>
      </w:r>
    </w:p>
    <w:p w14:paraId="483E52DE" w14:textId="26CA1EAD" w:rsidR="00884A30" w:rsidRPr="00AF0E36" w:rsidRDefault="00F930FF" w:rsidP="00AF0E36">
      <w:r>
        <w:t xml:space="preserve">We discuss how to capture these in section 3 after the following sub-sections explore </w:t>
      </w:r>
      <w:r w:rsidR="00884A30">
        <w:t>what exactl</w:t>
      </w:r>
      <w:r>
        <w:t>y could and should be captured.</w:t>
      </w:r>
    </w:p>
    <w:p w14:paraId="3771C9CA" w14:textId="64B51608" w:rsidR="00CD4C7B" w:rsidRPr="006E13D1" w:rsidRDefault="00172F3A" w:rsidP="00CD4C7B">
      <w:pPr>
        <w:pStyle w:val="Heading2"/>
      </w:pPr>
      <w:r>
        <w:t>2</w:t>
      </w:r>
      <w:r w:rsidR="00CD4C7B" w:rsidRPr="006E13D1">
        <w:t>.1</w:t>
      </w:r>
      <w:r w:rsidR="00CD4C7B" w:rsidRPr="006E13D1">
        <w:tab/>
      </w:r>
      <w:r>
        <w:t>BWP configuration option #1</w:t>
      </w:r>
    </w:p>
    <w:p w14:paraId="777FE7A6" w14:textId="48237A7F" w:rsidR="00795579" w:rsidRDefault="00083655" w:rsidP="00CD4C7B">
      <w:r w:rsidRPr="00083655">
        <w:t>The b</w:t>
      </w:r>
      <w:r w:rsidR="00795579" w:rsidRPr="00083655">
        <w:t>asic principle</w:t>
      </w:r>
      <w:r w:rsidRPr="00083655">
        <w:t xml:space="preserve"> of option 1 was to allow dedicated BWPs </w:t>
      </w:r>
      <w:r w:rsidR="006A126E">
        <w:t xml:space="preserve">have different configuration than BWP#0, which would only be used as the </w:t>
      </w:r>
      <w:r w:rsidRPr="00083655">
        <w:t>initial BWP</w:t>
      </w:r>
      <w:r w:rsidR="006A126E">
        <w:t xml:space="preserve"> for fallback cases</w:t>
      </w:r>
      <w:r w:rsidRPr="00083655">
        <w:t xml:space="preserve">. </w:t>
      </w:r>
      <w:r>
        <w:t>In typical cases</w:t>
      </w:r>
      <w:r w:rsidR="006A126E">
        <w:t xml:space="preserve"> with overlapping BWPs</w:t>
      </w:r>
      <w:r>
        <w:t xml:space="preserve">, the common parameters would </w:t>
      </w:r>
      <w:r w:rsidR="006A126E">
        <w:t>still</w:t>
      </w:r>
      <w:r>
        <w:t xml:space="preserve"> be the same for all BWPs, so repeating them </w:t>
      </w:r>
      <w:r w:rsidR="006A126E">
        <w:t xml:space="preserve">might </w:t>
      </w:r>
      <w:r>
        <w:t xml:space="preserve">not </w:t>
      </w:r>
      <w:r w:rsidR="006A126E">
        <w:t xml:space="preserve">be </w:t>
      </w:r>
      <w:r>
        <w:t>necessary</w:t>
      </w:r>
      <w:r w:rsidR="006A126E">
        <w:t xml:space="preserve"> but RRC configuration becomes straightforward with the repetition</w:t>
      </w:r>
      <w:r>
        <w:t>.</w:t>
      </w:r>
      <w:r w:rsidR="006A126E">
        <w:t xml:space="preserve"> The BWP#0 must also match the MIB/SIB1-signalled</w:t>
      </w:r>
      <w:r>
        <w:t xml:space="preserve"> </w:t>
      </w:r>
      <w:r w:rsidR="006A126E">
        <w:t xml:space="preserve">values, so dedicated BWPs allow deviating from that configuration. This is shown in Figure 1 below, illustrating the differences between BWP#0 and BWP#1-4 configurations. </w:t>
      </w:r>
    </w:p>
    <w:p w14:paraId="7C669AAC" w14:textId="7BB4AD3D" w:rsidR="00F962D7" w:rsidRDefault="006A126E" w:rsidP="00F962D7">
      <w:pPr>
        <w:keepNext/>
      </w:pPr>
      <w:r>
        <w:rPr>
          <w:noProof/>
        </w:rPr>
        <w:lastRenderedPageBreak/>
        <w:drawing>
          <wp:inline distT="0" distB="0" distL="0" distR="0" wp14:anchorId="52C139E2" wp14:editId="2F967B3E">
            <wp:extent cx="5970463" cy="10939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9469" cy="1117633"/>
                    </a:xfrm>
                    <a:prstGeom prst="rect">
                      <a:avLst/>
                    </a:prstGeom>
                    <a:noFill/>
                  </pic:spPr>
                </pic:pic>
              </a:graphicData>
            </a:graphic>
          </wp:inline>
        </w:drawing>
      </w:r>
    </w:p>
    <w:p w14:paraId="19841D59" w14:textId="2AEDC2F9" w:rsidR="00F962D7" w:rsidRPr="00F962D7" w:rsidRDefault="00F962D7" w:rsidP="00F962D7">
      <w:pPr>
        <w:pStyle w:val="Caption"/>
        <w:jc w:val="center"/>
        <w:rPr>
          <w:i w:val="0"/>
        </w:rPr>
      </w:pPr>
      <w:r w:rsidRPr="00796205">
        <w:rPr>
          <w:i w:val="0"/>
        </w:rPr>
        <w:t xml:space="preserve">Figure </w:t>
      </w:r>
      <w:r w:rsidRPr="00F962D7">
        <w:rPr>
          <w:i w:val="0"/>
        </w:rPr>
        <w:fldChar w:fldCharType="begin"/>
      </w:r>
      <w:r w:rsidRPr="00F962D7">
        <w:rPr>
          <w:i w:val="0"/>
        </w:rPr>
        <w:instrText xml:space="preserve"> SEQ Figure \* ARABIC </w:instrText>
      </w:r>
      <w:r w:rsidRPr="00F962D7">
        <w:rPr>
          <w:i w:val="0"/>
        </w:rPr>
        <w:fldChar w:fldCharType="separate"/>
      </w:r>
      <w:r w:rsidR="002E7913">
        <w:rPr>
          <w:i w:val="0"/>
          <w:noProof/>
        </w:rPr>
        <w:t>1</w:t>
      </w:r>
      <w:r w:rsidRPr="00F962D7">
        <w:rPr>
          <w:i w:val="0"/>
        </w:rPr>
        <w:fldChar w:fldCharType="end"/>
      </w:r>
      <w:r w:rsidRPr="00796205">
        <w:rPr>
          <w:i w:val="0"/>
        </w:rPr>
        <w:t xml:space="preserve">: </w:t>
      </w:r>
      <w:r>
        <w:rPr>
          <w:i w:val="0"/>
        </w:rPr>
        <w:t xml:space="preserve">Illustration of BWP </w:t>
      </w:r>
      <w:r w:rsidRPr="00796205">
        <w:rPr>
          <w:i w:val="0"/>
        </w:rPr>
        <w:t>configuration option #</w:t>
      </w:r>
      <w:r>
        <w:rPr>
          <w:i w:val="0"/>
        </w:rPr>
        <w:t>1</w:t>
      </w:r>
    </w:p>
    <w:p w14:paraId="67AFFD95" w14:textId="714342D9" w:rsidR="0010542B" w:rsidRDefault="00884A30" w:rsidP="00CD4C7B">
      <w:r>
        <w:rPr>
          <w:b/>
        </w:rPr>
        <w:t>Observation 2</w:t>
      </w:r>
      <w:r w:rsidR="0010542B" w:rsidRPr="0010542B">
        <w:rPr>
          <w:b/>
        </w:rPr>
        <w:t xml:space="preserve">: </w:t>
      </w:r>
      <w:r w:rsidR="0010542B" w:rsidRPr="0010542B">
        <w:t>The BWP c</w:t>
      </w:r>
      <w:r w:rsidR="0010542B">
        <w:t xml:space="preserve">onfiguration option 1 is based on separation of </w:t>
      </w:r>
      <w:r w:rsidR="006A126E">
        <w:t>BWP#0 (which is common to all UEs) and BWP#1-4 (which can be different for all UEs)</w:t>
      </w:r>
      <w:r w:rsidR="0010542B">
        <w:t>.</w:t>
      </w:r>
    </w:p>
    <w:p w14:paraId="38A8E898" w14:textId="0DDD1B31" w:rsidR="00884A30" w:rsidRDefault="00884A30" w:rsidP="00CD4C7B">
      <w:r>
        <w:t>We also note that since the UE is configured with dedicated BWP, the first active BWP would be BWP ID=1 when option 1 is first configured to reflect the fact that UE is using dedicated BWP</w:t>
      </w:r>
      <w:r w:rsidR="00820FF3">
        <w:t xml:space="preserve">, and UE would be fully utilising the </w:t>
      </w:r>
      <w:r w:rsidR="00472C9E">
        <w:t>configuration</w:t>
      </w:r>
      <w:r w:rsidR="00820FF3">
        <w:t xml:space="preserve"> given within BWP#1 (and thus, would not use BWP#0 configuration when BWP#1 is the active BWP)</w:t>
      </w:r>
      <w:r>
        <w:t>. Further, in case multiple dedicated BWPs are configured, these would be configured in the same way (</w:t>
      </w:r>
      <w:r w:rsidR="00820FF3">
        <w:t xml:space="preserve">via </w:t>
      </w:r>
      <w:r w:rsidRPr="00884A30">
        <w:rPr>
          <w:i/>
        </w:rPr>
        <w:t>BWP-Downlink/BWP-Uplink</w:t>
      </w:r>
      <w:r w:rsidR="00820FF3">
        <w:t xml:space="preserve"> within </w:t>
      </w:r>
      <w:r w:rsidR="00820FF3" w:rsidRPr="00820FF3">
        <w:rPr>
          <w:i/>
        </w:rPr>
        <w:t>ServingCellConfig</w:t>
      </w:r>
      <w:r>
        <w:t>) and the additional BWPs would be referred to with BWP ID = 2-4.</w:t>
      </w:r>
    </w:p>
    <w:p w14:paraId="2EF16E89" w14:textId="0C1F1A58" w:rsidR="00820FF3" w:rsidRPr="00884A30" w:rsidRDefault="00820FF3" w:rsidP="00CD4C7B">
      <w:r w:rsidRPr="00083655">
        <w:rPr>
          <w:b/>
        </w:rPr>
        <w:t xml:space="preserve">Observation </w:t>
      </w:r>
      <w:r>
        <w:rPr>
          <w:b/>
        </w:rPr>
        <w:t>3</w:t>
      </w:r>
      <w:r w:rsidRPr="00083655">
        <w:rPr>
          <w:b/>
        </w:rPr>
        <w:t>:</w:t>
      </w:r>
      <w:r>
        <w:t xml:space="preserve"> BWP#0 configuration is not used </w:t>
      </w:r>
      <w:r w:rsidR="00BA26AA">
        <w:t>if</w:t>
      </w:r>
      <w:r>
        <w:t xml:space="preserve"> the active BWP is either BWP#1 or some other BWP.</w:t>
      </w:r>
    </w:p>
    <w:p w14:paraId="1C5CD579" w14:textId="013C1F2E" w:rsidR="00884A30" w:rsidRPr="0010542B" w:rsidRDefault="00884A30" w:rsidP="00CD4C7B">
      <w:r>
        <w:rPr>
          <w:b/>
        </w:rPr>
        <w:t>Proposal 2</w:t>
      </w:r>
      <w:r w:rsidRPr="00884A30">
        <w:rPr>
          <w:b/>
        </w:rPr>
        <w:t>:</w:t>
      </w:r>
      <w:r>
        <w:t xml:space="preserve"> </w:t>
      </w:r>
      <w:r w:rsidR="00F61197">
        <w:t xml:space="preserve">RAN2 </w:t>
      </w:r>
      <w:r w:rsidR="006772E2">
        <w:t>confirms</w:t>
      </w:r>
      <w:r w:rsidR="00F61197">
        <w:t xml:space="preserve"> that w</w:t>
      </w:r>
      <w:r>
        <w:t xml:space="preserve">hen BWP configuration option 1 is used, </w:t>
      </w:r>
      <w:r w:rsidR="00820FF3">
        <w:t xml:space="preserve">the UE follows the configuration within </w:t>
      </w:r>
      <w:r>
        <w:t xml:space="preserve">the </w:t>
      </w:r>
      <w:r w:rsidR="001B5AC6">
        <w:t xml:space="preserve">active BWP (i.e. one of the </w:t>
      </w:r>
      <w:r>
        <w:t xml:space="preserve">dedicated BWPs </w:t>
      </w:r>
      <w:r w:rsidR="00820FF3">
        <w:t>#1-4</w:t>
      </w:r>
      <w:r w:rsidR="001B5AC6">
        <w:t>)</w:t>
      </w:r>
      <w:r w:rsidR="00820FF3">
        <w:t xml:space="preserve"> and does not utilize the BWP#0 configuration</w:t>
      </w:r>
      <w:r w:rsidR="001B5AC6">
        <w:t xml:space="preserve"> when BWP#0 is not active</w:t>
      </w:r>
      <w:r w:rsidR="00820FF3">
        <w:t>.</w:t>
      </w:r>
      <w:r>
        <w:t xml:space="preserve"> </w:t>
      </w:r>
    </w:p>
    <w:p w14:paraId="3D5A2548" w14:textId="483E5197" w:rsidR="00172F3A" w:rsidRDefault="00172F3A" w:rsidP="00172F3A">
      <w:pPr>
        <w:pStyle w:val="Heading2"/>
      </w:pPr>
      <w:r>
        <w:t>2.2</w:t>
      </w:r>
      <w:r w:rsidRPr="006E13D1">
        <w:tab/>
      </w:r>
      <w:r>
        <w:t>BWP configuration option #2</w:t>
      </w:r>
    </w:p>
    <w:p w14:paraId="5AD26627" w14:textId="7668DEFE" w:rsidR="00795579" w:rsidRDefault="00083655" w:rsidP="00795579">
      <w:r>
        <w:t>The b</w:t>
      </w:r>
      <w:r w:rsidR="00795579" w:rsidRPr="00083655">
        <w:t>asic principle</w:t>
      </w:r>
      <w:r>
        <w:t xml:space="preserve"> of BWP configuration option is that each BWP should be self-contained: The configuration for each BWP indicates all the necessary information, including common and dedicated BWP parameters. </w:t>
      </w:r>
      <w:r w:rsidR="00F61197">
        <w:t xml:space="preserve">The difference is only relevant for BWP#0: With option 2, the dedicated BWP configuration is present in </w:t>
      </w:r>
      <w:r w:rsidR="00F61197" w:rsidRPr="00472C9E">
        <w:rPr>
          <w:i/>
        </w:rPr>
        <w:t>ServingCellConfigCommon</w:t>
      </w:r>
      <w:r w:rsidR="00F61197">
        <w:t xml:space="preserve">, and the BWP is considered to be “RRC-configured BWP” from the viewpoint of how many RRC-configured BWPs UE has to support. </w:t>
      </w:r>
      <w:r>
        <w:t xml:space="preserve">Hence, </w:t>
      </w:r>
      <w:r w:rsidR="002E7913">
        <w:t xml:space="preserve">since UE only supports at most 4 BPWs, </w:t>
      </w:r>
      <w:r w:rsidR="00F61197">
        <w:t xml:space="preserve">only BWP#1, BWP#2 and BWP#3 can be configured in </w:t>
      </w:r>
      <w:r w:rsidR="002E7913" w:rsidRPr="00483480">
        <w:rPr>
          <w:i/>
        </w:rPr>
        <w:t>ServingCellConfig</w:t>
      </w:r>
      <w:r w:rsidR="002E7913">
        <w:t xml:space="preserve"> since BWP#0 is counted towards the maximum. This is also illustrated in Figure 2 below.</w:t>
      </w:r>
    </w:p>
    <w:p w14:paraId="71C59F36" w14:textId="05A84D94" w:rsidR="00F962D7" w:rsidRDefault="00F61197" w:rsidP="00F962D7">
      <w:pPr>
        <w:keepNext/>
      </w:pPr>
      <w:r>
        <w:rPr>
          <w:noProof/>
        </w:rPr>
        <w:drawing>
          <wp:inline distT="0" distB="0" distL="0" distR="0" wp14:anchorId="3365183A" wp14:editId="73DD11FC">
            <wp:extent cx="5947576" cy="141924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5048" cy="1437731"/>
                    </a:xfrm>
                    <a:prstGeom prst="rect">
                      <a:avLst/>
                    </a:prstGeom>
                    <a:noFill/>
                  </pic:spPr>
                </pic:pic>
              </a:graphicData>
            </a:graphic>
          </wp:inline>
        </w:drawing>
      </w:r>
    </w:p>
    <w:p w14:paraId="58CAA916" w14:textId="5FDB3856" w:rsidR="00F962D7" w:rsidRPr="00F962D7" w:rsidRDefault="00F962D7" w:rsidP="00F962D7">
      <w:pPr>
        <w:pStyle w:val="Caption"/>
        <w:jc w:val="center"/>
        <w:rPr>
          <w:i w:val="0"/>
        </w:rPr>
      </w:pPr>
      <w:r w:rsidRPr="00796205">
        <w:rPr>
          <w:i w:val="0"/>
        </w:rPr>
        <w:t xml:space="preserve">Figure </w:t>
      </w:r>
      <w:r w:rsidRPr="00F962D7">
        <w:rPr>
          <w:i w:val="0"/>
        </w:rPr>
        <w:fldChar w:fldCharType="begin"/>
      </w:r>
      <w:r w:rsidRPr="00F962D7">
        <w:rPr>
          <w:i w:val="0"/>
        </w:rPr>
        <w:instrText xml:space="preserve"> SEQ Figure \* ARABIC </w:instrText>
      </w:r>
      <w:r w:rsidRPr="00F962D7">
        <w:rPr>
          <w:i w:val="0"/>
        </w:rPr>
        <w:fldChar w:fldCharType="separate"/>
      </w:r>
      <w:r w:rsidR="002E7913">
        <w:rPr>
          <w:i w:val="0"/>
          <w:noProof/>
        </w:rPr>
        <w:t>2</w:t>
      </w:r>
      <w:r w:rsidRPr="00F962D7">
        <w:rPr>
          <w:i w:val="0"/>
        </w:rPr>
        <w:fldChar w:fldCharType="end"/>
      </w:r>
      <w:r w:rsidRPr="00796205">
        <w:rPr>
          <w:i w:val="0"/>
        </w:rPr>
        <w:t xml:space="preserve">: </w:t>
      </w:r>
      <w:r>
        <w:rPr>
          <w:i w:val="0"/>
        </w:rPr>
        <w:t xml:space="preserve">Illustration of BWP </w:t>
      </w:r>
      <w:r w:rsidRPr="00796205">
        <w:rPr>
          <w:i w:val="0"/>
        </w:rPr>
        <w:t>configuration option #</w:t>
      </w:r>
      <w:r>
        <w:rPr>
          <w:i w:val="0"/>
        </w:rPr>
        <w:t>2</w:t>
      </w:r>
    </w:p>
    <w:p w14:paraId="125C0769" w14:textId="3D7A3DED" w:rsidR="003A1105" w:rsidRPr="0010542B" w:rsidRDefault="003A1105" w:rsidP="003A1105">
      <w:r>
        <w:rPr>
          <w:b/>
        </w:rPr>
        <w:t>Observation 4</w:t>
      </w:r>
      <w:r w:rsidRPr="00884A30">
        <w:rPr>
          <w:b/>
        </w:rPr>
        <w:t>:</w:t>
      </w:r>
      <w:r>
        <w:t xml:space="preserve"> With BWP configuration option 2, only BWP IDs = 0-3 can be used.</w:t>
      </w:r>
    </w:p>
    <w:p w14:paraId="72CEF78F" w14:textId="525DCB1D" w:rsidR="0010542B" w:rsidRDefault="0010542B" w:rsidP="0010542B">
      <w:r w:rsidRPr="0010542B">
        <w:rPr>
          <w:b/>
        </w:rPr>
        <w:t xml:space="preserve">Observation </w:t>
      </w:r>
      <w:r w:rsidR="003A1105">
        <w:rPr>
          <w:b/>
        </w:rPr>
        <w:t>5</w:t>
      </w:r>
      <w:r w:rsidRPr="0010542B">
        <w:rPr>
          <w:b/>
        </w:rPr>
        <w:t xml:space="preserve">: </w:t>
      </w:r>
      <w:r w:rsidRPr="0010542B">
        <w:t>The BWP c</w:t>
      </w:r>
      <w:r>
        <w:t xml:space="preserve">onfiguration option 2 </w:t>
      </w:r>
      <w:r w:rsidR="002E7913">
        <w:t>differs from option 1 only with regards to BWP#0 configuration and the maximum number of dedicated BWPs</w:t>
      </w:r>
      <w:r>
        <w:t>.</w:t>
      </w:r>
    </w:p>
    <w:p w14:paraId="1502BDCF" w14:textId="43B68CDA" w:rsidR="00051D63" w:rsidRDefault="002E7913" w:rsidP="0010542B">
      <w:r>
        <w:t xml:space="preserve">Since the differences are small, one can ask </w:t>
      </w:r>
      <w:r w:rsidR="00051D63">
        <w:t>whether both option 1 and option 2 could be used simultaneously.</w:t>
      </w:r>
      <w:r>
        <w:t xml:space="preserve"> However, since the BWP#0 configuration is different</w:t>
      </w:r>
      <w:r w:rsidR="006772E2">
        <w:t xml:space="preserve"> between the options, this doesn’t seem possible</w:t>
      </w:r>
      <w:r w:rsidR="00051D63">
        <w:t>.</w:t>
      </w:r>
      <w:r w:rsidR="006772E2">
        <w:t xml:space="preserve"> </w:t>
      </w:r>
    </w:p>
    <w:p w14:paraId="2DA57B77" w14:textId="4D466681" w:rsidR="00051D63" w:rsidRDefault="00884A30" w:rsidP="00051D63">
      <w:r>
        <w:rPr>
          <w:b/>
        </w:rPr>
        <w:t>Proposal 3:</w:t>
      </w:r>
      <w:r w:rsidR="00051D63">
        <w:t xml:space="preserve"> </w:t>
      </w:r>
      <w:r w:rsidR="006772E2">
        <w:t>RAN2 confirms that t</w:t>
      </w:r>
      <w:r>
        <w:t xml:space="preserve">he </w:t>
      </w:r>
      <w:r w:rsidR="00051D63">
        <w:t>BWP configuration options 1 and 2 can’t be used for the same UE</w:t>
      </w:r>
      <w:r>
        <w:t>.</w:t>
      </w:r>
      <w:r w:rsidR="00051D63">
        <w:t xml:space="preserve"> </w:t>
      </w:r>
    </w:p>
    <w:p w14:paraId="2C82BAF9" w14:textId="16960993" w:rsidR="00B04BB2" w:rsidRDefault="003A1105" w:rsidP="003A1105">
      <w:r w:rsidRPr="003A1105">
        <w:t xml:space="preserve">It would be possible to “switch” between the two options by release/setup of </w:t>
      </w:r>
      <w:r w:rsidRPr="00483480">
        <w:rPr>
          <w:i/>
        </w:rPr>
        <w:t>BWP-DownlinkDedicated/BWP-UplinkDedicated</w:t>
      </w:r>
      <w:r w:rsidRPr="003A1105">
        <w:t xml:space="preserve"> (since all the fields inside both are releasable). However, whether this is supported by all UEs, and whether this would be considered a BWP switch (since BWP#0 configuration is changed</w:t>
      </w:r>
      <w:r>
        <w:t xml:space="preserve"> during such a switch</w:t>
      </w:r>
      <w:r w:rsidRPr="003A1105">
        <w:t>) would require further discussion.</w:t>
      </w:r>
      <w:r>
        <w:t xml:space="preserve"> It would certainly be possible with reconfiguration with sync (since it should be possible when changing the serving cell).</w:t>
      </w:r>
    </w:p>
    <w:p w14:paraId="405BA980" w14:textId="58EAE91A" w:rsidR="00B04BB2" w:rsidRDefault="00B04BB2" w:rsidP="00051D63">
      <w:r w:rsidRPr="00B04BB2">
        <w:rPr>
          <w:b/>
        </w:rPr>
        <w:lastRenderedPageBreak/>
        <w:t>Proposal 4:</w:t>
      </w:r>
      <w:r>
        <w:t xml:space="preserve"> </w:t>
      </w:r>
      <w:r w:rsidR="003A1105">
        <w:t>RAN2 confirms that s</w:t>
      </w:r>
      <w:r>
        <w:t xml:space="preserve">witching between BWP configuration options </w:t>
      </w:r>
      <w:r w:rsidR="003A1105">
        <w:t xml:space="preserve">is possible at least via using RRC </w:t>
      </w:r>
      <w:r>
        <w:t>reconfiguration with sync.</w:t>
      </w:r>
    </w:p>
    <w:p w14:paraId="4B67175E" w14:textId="303FBF52" w:rsidR="003A1105" w:rsidRDefault="003A1105" w:rsidP="0010542B">
      <w:r>
        <w:t xml:space="preserve">One can also ask whether multiple BWPs can even be used with option 2: Originally option 2 was intended for a case where the cell desires all UEs to use exactly the same information as given in MIB/SIB1 (i.e. LTE-like configuration). Having multiple BWPs is not forbidden currently in RRC, </w:t>
      </w:r>
      <w:r w:rsidR="00343E54">
        <w:t xml:space="preserve">with the restriction that </w:t>
      </w:r>
      <w:r>
        <w:t xml:space="preserve">only IDs 1-3 can be used since BWP#0 is also considered a dedicated BWP. Therefore, </w:t>
      </w:r>
      <w:r w:rsidR="00343E54">
        <w:t>the specification supports having multiple BWPs regardless of the used BWP configuration option</w:t>
      </w:r>
      <w:r>
        <w:t>.</w:t>
      </w:r>
    </w:p>
    <w:p w14:paraId="339E5775" w14:textId="5C8DED75" w:rsidR="001B5AC6" w:rsidRDefault="001B5AC6" w:rsidP="001B5AC6">
      <w:r>
        <w:rPr>
          <w:b/>
        </w:rPr>
        <w:t>Proposal 5</w:t>
      </w:r>
      <w:r w:rsidRPr="00884A30">
        <w:rPr>
          <w:b/>
        </w:rPr>
        <w:t>:</w:t>
      </w:r>
      <w:r>
        <w:t xml:space="preserve"> RAN2 confirms that multiple BWPs are supported with BWP configuration option 2.</w:t>
      </w:r>
    </w:p>
    <w:p w14:paraId="5A7E381B" w14:textId="40D9A7AA" w:rsidR="00CD4C7B" w:rsidRPr="006E13D1" w:rsidRDefault="00172F3A" w:rsidP="00CD4C7B">
      <w:pPr>
        <w:pStyle w:val="Heading2"/>
      </w:pPr>
      <w:r>
        <w:t>2.3</w:t>
      </w:r>
      <w:r w:rsidR="00CD4C7B" w:rsidRPr="006E13D1">
        <w:tab/>
      </w:r>
      <w:r>
        <w:t>Field presence conditions for BWP configurations</w:t>
      </w:r>
    </w:p>
    <w:p w14:paraId="55AA0B2A" w14:textId="50EBDB03" w:rsidR="00B04BB2" w:rsidRDefault="00B04BB2" w:rsidP="00795579">
      <w:pPr>
        <w:spacing w:after="0"/>
        <w:rPr>
          <w:rFonts w:eastAsia="Yu Gothic"/>
          <w:lang w:eastAsia="ja-JP"/>
        </w:rPr>
      </w:pPr>
      <w:r>
        <w:rPr>
          <w:rFonts w:eastAsia="Yu Gothic"/>
          <w:lang w:eastAsia="ja-JP"/>
        </w:rPr>
        <w:t xml:space="preserve">We also note a potential interpretation problem for option 1 with current specification based on above descriptions: Since both </w:t>
      </w:r>
      <w:r w:rsidRPr="00472C9E">
        <w:rPr>
          <w:rFonts w:eastAsia="Yu Gothic"/>
          <w:i/>
          <w:lang w:eastAsia="ja-JP"/>
        </w:rPr>
        <w:t>BWP-DownlinkCommon</w:t>
      </w:r>
      <w:r w:rsidRPr="00472C9E">
        <w:rPr>
          <w:rFonts w:eastAsia="Yu Gothic"/>
          <w:lang w:eastAsia="ja-JP"/>
        </w:rPr>
        <w:t>/</w:t>
      </w:r>
      <w:r w:rsidRPr="00472C9E">
        <w:rPr>
          <w:rFonts w:eastAsia="Yu Gothic"/>
          <w:i/>
          <w:lang w:eastAsia="ja-JP"/>
        </w:rPr>
        <w:t>BWP-UplinkCommon</w:t>
      </w:r>
      <w:r>
        <w:rPr>
          <w:rFonts w:eastAsia="Yu Gothic"/>
          <w:lang w:eastAsia="ja-JP"/>
        </w:rPr>
        <w:t xml:space="preserve"> and </w:t>
      </w:r>
      <w:r w:rsidRPr="00472C9E">
        <w:rPr>
          <w:rFonts w:eastAsia="Yu Gothic"/>
          <w:i/>
          <w:lang w:eastAsia="ja-JP"/>
        </w:rPr>
        <w:t>BWP-Downlink</w:t>
      </w:r>
      <w:r w:rsidRPr="00472C9E">
        <w:rPr>
          <w:rFonts w:eastAsia="Yu Gothic"/>
          <w:lang w:eastAsia="ja-JP"/>
        </w:rPr>
        <w:t>/</w:t>
      </w:r>
      <w:r w:rsidRPr="00472C9E">
        <w:rPr>
          <w:rFonts w:eastAsia="Yu Gothic"/>
          <w:i/>
          <w:lang w:eastAsia="ja-JP"/>
        </w:rPr>
        <w:t>BWP-Uplink</w:t>
      </w:r>
      <w:r>
        <w:rPr>
          <w:rFonts w:eastAsia="Yu Gothic"/>
          <w:lang w:eastAsia="ja-JP"/>
        </w:rPr>
        <w:t xml:space="preserve"> use partly the same IEs, are there cases where only the common BWP(#0) should utilize the IE or where only the dedicated BWP (i.e.#1-#4) should utilize the same IE? </w:t>
      </w:r>
      <w:r w:rsidR="00A40127">
        <w:rPr>
          <w:rFonts w:eastAsia="Yu Gothic"/>
          <w:lang w:eastAsia="ja-JP"/>
        </w:rPr>
        <w:t xml:space="preserve">Since first active BWP id should be 1 with BWP configuration option 1, it should be clear that BWP#1 configuration is used, but this is perhaps not apparent neither in </w:t>
      </w:r>
      <w:r>
        <w:rPr>
          <w:rFonts w:eastAsia="Yu Gothic"/>
          <w:lang w:eastAsia="ja-JP"/>
        </w:rPr>
        <w:t xml:space="preserve">the current ASN.1 nor </w:t>
      </w:r>
      <w:r w:rsidR="00A40127">
        <w:rPr>
          <w:rFonts w:eastAsia="Yu Gothic"/>
          <w:lang w:eastAsia="ja-JP"/>
        </w:rPr>
        <w:t xml:space="preserve">in </w:t>
      </w:r>
      <w:r>
        <w:rPr>
          <w:rFonts w:eastAsia="Yu Gothic"/>
          <w:lang w:eastAsia="ja-JP"/>
        </w:rPr>
        <w:t xml:space="preserve">the original </w:t>
      </w:r>
      <w:r w:rsidR="00A40127">
        <w:rPr>
          <w:rFonts w:eastAsia="Yu Gothic"/>
          <w:lang w:eastAsia="ja-JP"/>
        </w:rPr>
        <w:t xml:space="preserve">BWP configuration </w:t>
      </w:r>
      <w:r>
        <w:rPr>
          <w:rFonts w:eastAsia="Yu Gothic"/>
          <w:lang w:eastAsia="ja-JP"/>
        </w:rPr>
        <w:t xml:space="preserve">description </w:t>
      </w:r>
      <w:r w:rsidR="00A40127">
        <w:rPr>
          <w:rFonts w:eastAsia="Yu Gothic"/>
          <w:lang w:eastAsia="ja-JP"/>
        </w:rPr>
        <w:t xml:space="preserve">(which </w:t>
      </w:r>
      <w:r>
        <w:rPr>
          <w:rFonts w:eastAsia="Yu Gothic"/>
          <w:lang w:eastAsia="ja-JP"/>
        </w:rPr>
        <w:t xml:space="preserve">only </w:t>
      </w:r>
      <w:r w:rsidR="00A40127">
        <w:rPr>
          <w:rFonts w:eastAsia="Yu Gothic"/>
          <w:lang w:eastAsia="ja-JP"/>
        </w:rPr>
        <w:t xml:space="preserve">mentions </w:t>
      </w:r>
      <w:r>
        <w:rPr>
          <w:rFonts w:eastAsia="Yu Gothic"/>
          <w:lang w:eastAsia="ja-JP"/>
        </w:rPr>
        <w:t>the upper</w:t>
      </w:r>
      <w:r w:rsidR="00A40127">
        <w:rPr>
          <w:rFonts w:eastAsia="Yu Gothic"/>
          <w:lang w:eastAsia="ja-JP"/>
        </w:rPr>
        <w:t>most</w:t>
      </w:r>
      <w:r>
        <w:rPr>
          <w:rFonts w:eastAsia="Yu Gothic"/>
          <w:lang w:eastAsia="ja-JP"/>
        </w:rPr>
        <w:t xml:space="preserve"> level IEs</w:t>
      </w:r>
      <w:r w:rsidR="00A40127">
        <w:rPr>
          <w:rFonts w:eastAsia="Yu Gothic"/>
          <w:lang w:eastAsia="ja-JP"/>
        </w:rPr>
        <w:t>)</w:t>
      </w:r>
      <w:r>
        <w:rPr>
          <w:rFonts w:eastAsia="Yu Gothic"/>
          <w:lang w:eastAsia="ja-JP"/>
        </w:rPr>
        <w:t>.</w:t>
      </w:r>
    </w:p>
    <w:p w14:paraId="032B3A5A" w14:textId="77777777" w:rsidR="00B04BB2" w:rsidRDefault="00B04BB2" w:rsidP="00795579">
      <w:pPr>
        <w:spacing w:after="0"/>
        <w:rPr>
          <w:rFonts w:eastAsia="Yu Gothic"/>
          <w:lang w:eastAsia="ja-JP"/>
        </w:rPr>
      </w:pPr>
    </w:p>
    <w:p w14:paraId="12EB2D4A" w14:textId="033DD5CA" w:rsidR="00795579" w:rsidRDefault="00B04BB2" w:rsidP="00795579">
      <w:pPr>
        <w:spacing w:after="0"/>
        <w:rPr>
          <w:rFonts w:eastAsia="Yu Gothic"/>
          <w:lang w:eastAsia="ja-JP"/>
        </w:rPr>
      </w:pPr>
      <w:r w:rsidRPr="00B04BB2">
        <w:rPr>
          <w:rFonts w:eastAsia="Yu Gothic"/>
          <w:b/>
          <w:lang w:eastAsia="ja-JP"/>
        </w:rPr>
        <w:t xml:space="preserve">Observation </w:t>
      </w:r>
      <w:r w:rsidR="00A40127">
        <w:rPr>
          <w:rFonts w:eastAsia="Yu Gothic"/>
          <w:b/>
          <w:lang w:eastAsia="ja-JP"/>
        </w:rPr>
        <w:t>6</w:t>
      </w:r>
      <w:r w:rsidRPr="00B04BB2">
        <w:rPr>
          <w:rFonts w:eastAsia="Yu Gothic"/>
          <w:b/>
          <w:lang w:eastAsia="ja-JP"/>
        </w:rPr>
        <w:t>:</w:t>
      </w:r>
      <w:r>
        <w:rPr>
          <w:rFonts w:eastAsia="Yu Gothic"/>
          <w:lang w:eastAsia="ja-JP"/>
        </w:rPr>
        <w:t xml:space="preserve"> With option 1, it may not be clear whether BWP#0 or BWP#X should use IEs duplicated across both configuration parts.</w:t>
      </w:r>
    </w:p>
    <w:p w14:paraId="751B0C09" w14:textId="77777777" w:rsidR="00B04BB2" w:rsidRDefault="00B04BB2" w:rsidP="00795579">
      <w:pPr>
        <w:spacing w:after="0"/>
        <w:rPr>
          <w:rFonts w:eastAsia="Yu Gothic"/>
          <w:lang w:eastAsia="ja-JP"/>
        </w:rPr>
      </w:pPr>
    </w:p>
    <w:p w14:paraId="102F76FC" w14:textId="51FF1A1E" w:rsidR="00B04BB2" w:rsidRDefault="00B04BB2" w:rsidP="00795579">
      <w:pPr>
        <w:spacing w:after="0"/>
        <w:rPr>
          <w:rFonts w:eastAsia="Yu Gothic"/>
          <w:lang w:eastAsia="ja-JP"/>
        </w:rPr>
      </w:pPr>
      <w:r>
        <w:rPr>
          <w:rFonts w:eastAsia="Yu Gothic"/>
          <w:lang w:eastAsia="ja-JP"/>
        </w:rPr>
        <w:t xml:space="preserve">To illustrate this better, we consider the IE </w:t>
      </w:r>
      <w:r w:rsidRPr="00B04BB2">
        <w:rPr>
          <w:rFonts w:eastAsia="Yu Gothic"/>
          <w:i/>
          <w:lang w:eastAsia="ja-JP"/>
        </w:rPr>
        <w:t>PDCCH-ConfigCommon</w:t>
      </w:r>
      <w:r>
        <w:rPr>
          <w:rFonts w:eastAsia="Yu Gothic"/>
          <w:lang w:eastAsia="ja-JP"/>
        </w:rPr>
        <w:t xml:space="preserve">. Obviously, it can be included in </w:t>
      </w:r>
      <w:r w:rsidRPr="00B04BB2">
        <w:rPr>
          <w:rFonts w:eastAsia="Yu Gothic"/>
          <w:i/>
          <w:lang w:eastAsia="ja-JP"/>
        </w:rPr>
        <w:t>ServingCellConfigCommon</w:t>
      </w:r>
      <w:r>
        <w:rPr>
          <w:rFonts w:eastAsia="Yu Gothic"/>
          <w:lang w:eastAsia="ja-JP"/>
        </w:rPr>
        <w:t xml:space="preserve"> (in BWP#0) in line with the </w:t>
      </w:r>
      <w:r w:rsidRPr="00B04BB2">
        <w:rPr>
          <w:rFonts w:eastAsia="Yu Gothic"/>
          <w:i/>
          <w:lang w:eastAsia="ja-JP"/>
        </w:rPr>
        <w:t>ServingCellConfigCommonSIB</w:t>
      </w:r>
      <w:r>
        <w:rPr>
          <w:rFonts w:eastAsia="Yu Gothic"/>
          <w:lang w:eastAsia="ja-JP"/>
        </w:rPr>
        <w:t xml:space="preserve"> (in SIB1) configuration, but it is also possible to include it in </w:t>
      </w:r>
      <w:r w:rsidR="00A40127">
        <w:rPr>
          <w:rFonts w:eastAsia="Yu Gothic"/>
          <w:lang w:eastAsia="ja-JP"/>
        </w:rPr>
        <w:t xml:space="preserve">BWP#1 (via </w:t>
      </w:r>
      <w:r w:rsidRPr="00B04BB2">
        <w:rPr>
          <w:rFonts w:eastAsia="Yu Gothic"/>
          <w:i/>
          <w:lang w:eastAsia="ja-JP"/>
        </w:rPr>
        <w:t>BWP-Downlink</w:t>
      </w:r>
      <w:r w:rsidR="00A40127">
        <w:rPr>
          <w:rFonts w:eastAsia="Yu Gothic"/>
          <w:lang w:eastAsia="ja-JP"/>
        </w:rPr>
        <w:t xml:space="preserve">, which also contains </w:t>
      </w:r>
      <w:r w:rsidRPr="00B04BB2">
        <w:rPr>
          <w:rFonts w:eastAsia="Yu Gothic"/>
          <w:i/>
          <w:lang w:eastAsia="ja-JP"/>
        </w:rPr>
        <w:t>BWP-DownlinkCommon</w:t>
      </w:r>
      <w:r w:rsidR="00A40127">
        <w:rPr>
          <w:rFonts w:eastAsia="Yu Gothic"/>
          <w:i/>
          <w:lang w:eastAsia="ja-JP"/>
        </w:rPr>
        <w:t>)</w:t>
      </w:r>
      <w:r>
        <w:rPr>
          <w:rFonts w:eastAsia="Yu Gothic"/>
          <w:lang w:eastAsia="ja-JP"/>
        </w:rPr>
        <w:t>. Therefore, we note that it can be included in both BWP#0 and BWP#1</w:t>
      </w:r>
      <w:r w:rsidR="004871E6">
        <w:rPr>
          <w:rFonts w:eastAsia="Yu Gothic"/>
          <w:lang w:eastAsia="ja-JP"/>
        </w:rPr>
        <w:t xml:space="preserve"> as shown by the IE chain depicted in Figure </w:t>
      </w:r>
      <w:r w:rsidR="00F962D7">
        <w:rPr>
          <w:rFonts w:eastAsia="Yu Gothic"/>
          <w:lang w:eastAsia="ja-JP"/>
        </w:rPr>
        <w:t>3</w:t>
      </w:r>
      <w:r w:rsidR="004871E6">
        <w:rPr>
          <w:rFonts w:eastAsia="Yu Gothic"/>
          <w:lang w:eastAsia="ja-JP"/>
        </w:rPr>
        <w:t>.</w:t>
      </w:r>
    </w:p>
    <w:p w14:paraId="06359437" w14:textId="77777777" w:rsidR="00F962D7" w:rsidRDefault="00F962D7" w:rsidP="00795579">
      <w:pPr>
        <w:spacing w:after="0"/>
        <w:rPr>
          <w:rFonts w:eastAsia="Yu Gothic"/>
          <w:lang w:eastAsia="ja-JP"/>
        </w:rPr>
      </w:pPr>
    </w:p>
    <w:p w14:paraId="69E9EA2F" w14:textId="47833B3A" w:rsidR="004871E6" w:rsidRDefault="00A40127" w:rsidP="00772C8A">
      <w:pPr>
        <w:spacing w:after="0"/>
        <w:rPr>
          <w:rFonts w:eastAsia="Yu Gothic"/>
          <w:lang w:eastAsia="ja-JP"/>
        </w:rPr>
      </w:pPr>
      <w:r>
        <w:rPr>
          <w:rFonts w:eastAsia="Yu Gothic"/>
          <w:noProof/>
          <w:lang w:eastAsia="ja-JP"/>
        </w:rPr>
        <w:drawing>
          <wp:inline distT="0" distB="0" distL="0" distR="0" wp14:anchorId="3C637DB6" wp14:editId="6C3B53D5">
            <wp:extent cx="6163807" cy="61448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12952" cy="629353"/>
                    </a:xfrm>
                    <a:prstGeom prst="rect">
                      <a:avLst/>
                    </a:prstGeom>
                    <a:noFill/>
                  </pic:spPr>
                </pic:pic>
              </a:graphicData>
            </a:graphic>
          </wp:inline>
        </w:drawing>
      </w:r>
    </w:p>
    <w:p w14:paraId="651FEA75" w14:textId="4E7DF5C7" w:rsidR="004871E6" w:rsidRDefault="004871E6" w:rsidP="00772C8A">
      <w:pPr>
        <w:spacing w:after="0"/>
        <w:rPr>
          <w:rFonts w:eastAsia="Yu Gothic"/>
          <w:lang w:eastAsia="ja-JP"/>
        </w:rPr>
      </w:pPr>
    </w:p>
    <w:p w14:paraId="4906A806" w14:textId="18CD6AEA" w:rsidR="004871E6" w:rsidRPr="00796205" w:rsidRDefault="004871E6" w:rsidP="00F962D7">
      <w:pPr>
        <w:pStyle w:val="Caption"/>
        <w:jc w:val="center"/>
        <w:rPr>
          <w:i w:val="0"/>
        </w:rPr>
      </w:pPr>
      <w:r w:rsidRPr="00796205">
        <w:rPr>
          <w:i w:val="0"/>
        </w:rPr>
        <w:t xml:space="preserve">Figure </w:t>
      </w:r>
      <w:r w:rsidR="00F962D7" w:rsidRPr="00F962D7">
        <w:rPr>
          <w:i w:val="0"/>
        </w:rPr>
        <w:fldChar w:fldCharType="begin"/>
      </w:r>
      <w:r w:rsidR="00F962D7" w:rsidRPr="00F962D7">
        <w:rPr>
          <w:i w:val="0"/>
        </w:rPr>
        <w:instrText xml:space="preserve"> SEQ Figure \* ARABIC </w:instrText>
      </w:r>
      <w:r w:rsidR="00F962D7" w:rsidRPr="00F962D7">
        <w:rPr>
          <w:i w:val="0"/>
        </w:rPr>
        <w:fldChar w:fldCharType="separate"/>
      </w:r>
      <w:r w:rsidR="002E7913">
        <w:rPr>
          <w:i w:val="0"/>
          <w:noProof/>
        </w:rPr>
        <w:t>3</w:t>
      </w:r>
      <w:r w:rsidR="00F962D7" w:rsidRPr="00F962D7">
        <w:rPr>
          <w:i w:val="0"/>
        </w:rPr>
        <w:fldChar w:fldCharType="end"/>
      </w:r>
      <w:r w:rsidRPr="00796205">
        <w:rPr>
          <w:i w:val="0"/>
        </w:rPr>
        <w:t xml:space="preserve">: </w:t>
      </w:r>
      <w:r>
        <w:rPr>
          <w:i w:val="0"/>
        </w:rPr>
        <w:t xml:space="preserve">IE chain for including PDCCH-ConfigCommon for BWP </w:t>
      </w:r>
      <w:r w:rsidRPr="00796205">
        <w:rPr>
          <w:i w:val="0"/>
        </w:rPr>
        <w:t>configuration option #</w:t>
      </w:r>
      <w:r>
        <w:rPr>
          <w:i w:val="0"/>
        </w:rPr>
        <w:t>1</w:t>
      </w:r>
    </w:p>
    <w:p w14:paraId="5C53559C" w14:textId="77777777" w:rsidR="00AB551C" w:rsidRDefault="00AB551C" w:rsidP="00AB551C">
      <w:pPr>
        <w:spacing w:after="0"/>
        <w:rPr>
          <w:rFonts w:eastAsia="Yu Gothic"/>
          <w:lang w:eastAsia="ja-JP"/>
        </w:rPr>
      </w:pPr>
    </w:p>
    <w:p w14:paraId="2D976902" w14:textId="1D0A470F" w:rsidR="00FE2478" w:rsidRDefault="00FE2478" w:rsidP="00483480">
      <w:pPr>
        <w:spacing w:after="0"/>
        <w:rPr>
          <w:rFonts w:eastAsia="Yu Gothic"/>
          <w:lang w:eastAsia="ja-JP"/>
        </w:rPr>
      </w:pPr>
      <w:bookmarkStart w:id="1" w:name="_Hlk536532606"/>
      <w:r>
        <w:rPr>
          <w:rFonts w:eastAsia="Yu Gothic"/>
          <w:b/>
          <w:lang w:eastAsia="ja-JP"/>
        </w:rPr>
        <w:t>Observation 7</w:t>
      </w:r>
      <w:r w:rsidR="00772C8A" w:rsidRPr="00772C8A">
        <w:rPr>
          <w:rFonts w:eastAsia="Yu Gothic"/>
          <w:b/>
          <w:lang w:eastAsia="ja-JP"/>
        </w:rPr>
        <w:t>:</w:t>
      </w:r>
      <w:r w:rsidR="00772C8A">
        <w:rPr>
          <w:rFonts w:eastAsia="Yu Gothic"/>
          <w:lang w:eastAsia="ja-JP"/>
        </w:rPr>
        <w:t xml:space="preserve"> </w:t>
      </w:r>
      <w:r>
        <w:rPr>
          <w:rFonts w:eastAsia="Yu Gothic"/>
          <w:lang w:eastAsia="ja-JP"/>
        </w:rPr>
        <w:t>E</w:t>
      </w:r>
      <w:r w:rsidR="00A40127">
        <w:rPr>
          <w:rFonts w:eastAsia="Yu Gothic"/>
          <w:lang w:eastAsia="ja-JP"/>
        </w:rPr>
        <w:t xml:space="preserve">ach BWP </w:t>
      </w:r>
      <w:r w:rsidR="0025263B">
        <w:rPr>
          <w:rFonts w:eastAsia="Yu Gothic"/>
          <w:lang w:eastAsia="ja-JP"/>
        </w:rPr>
        <w:t xml:space="preserve">configuration </w:t>
      </w:r>
      <w:r w:rsidR="00A40127">
        <w:rPr>
          <w:rFonts w:eastAsia="Yu Gothic"/>
          <w:lang w:eastAsia="ja-JP"/>
        </w:rPr>
        <w:t xml:space="preserve">may </w:t>
      </w:r>
      <w:r w:rsidR="0025263B">
        <w:rPr>
          <w:rFonts w:eastAsia="Yu Gothic"/>
          <w:lang w:eastAsia="ja-JP"/>
        </w:rPr>
        <w:t xml:space="preserve">contain both </w:t>
      </w:r>
      <w:r>
        <w:rPr>
          <w:rFonts w:eastAsia="Yu Gothic"/>
          <w:lang w:eastAsia="ja-JP"/>
        </w:rPr>
        <w:t xml:space="preserve">the common part (i.e. </w:t>
      </w:r>
      <w:r w:rsidR="0025263B" w:rsidRPr="00472C9E">
        <w:rPr>
          <w:rFonts w:eastAsia="Yu Gothic"/>
          <w:i/>
          <w:lang w:eastAsia="ja-JP"/>
        </w:rPr>
        <w:t>BWP-</w:t>
      </w:r>
      <w:r w:rsidR="0025263B">
        <w:rPr>
          <w:rFonts w:eastAsia="Yu Gothic"/>
          <w:i/>
          <w:lang w:eastAsia="ja-JP"/>
        </w:rPr>
        <w:t>Up/Down</w:t>
      </w:r>
      <w:r w:rsidR="0025263B" w:rsidRPr="00472C9E">
        <w:rPr>
          <w:rFonts w:eastAsia="Yu Gothic"/>
          <w:i/>
          <w:lang w:eastAsia="ja-JP"/>
        </w:rPr>
        <w:t>linkCommon</w:t>
      </w:r>
      <w:r w:rsidRPr="00FE2478">
        <w:rPr>
          <w:rFonts w:eastAsia="Yu Gothic"/>
          <w:lang w:eastAsia="ja-JP"/>
        </w:rPr>
        <w:t>)</w:t>
      </w:r>
      <w:r w:rsidR="0025263B">
        <w:rPr>
          <w:rFonts w:eastAsia="Yu Gothic"/>
          <w:lang w:eastAsia="ja-JP"/>
        </w:rPr>
        <w:t xml:space="preserve"> and </w:t>
      </w:r>
      <w:r>
        <w:rPr>
          <w:rFonts w:eastAsia="Yu Gothic"/>
          <w:lang w:eastAsia="ja-JP"/>
        </w:rPr>
        <w:t xml:space="preserve">dedicated part (i.e. </w:t>
      </w:r>
      <w:r w:rsidR="0025263B" w:rsidRPr="00472C9E">
        <w:rPr>
          <w:rFonts w:eastAsia="Yu Gothic"/>
          <w:i/>
          <w:lang w:eastAsia="ja-JP"/>
        </w:rPr>
        <w:t>BWP-</w:t>
      </w:r>
      <w:r w:rsidR="0025263B">
        <w:rPr>
          <w:rFonts w:eastAsia="Yu Gothic"/>
          <w:i/>
          <w:lang w:eastAsia="ja-JP"/>
        </w:rPr>
        <w:t>Up/Down</w:t>
      </w:r>
      <w:r w:rsidR="0025263B" w:rsidRPr="00472C9E">
        <w:rPr>
          <w:rFonts w:eastAsia="Yu Gothic"/>
          <w:i/>
          <w:lang w:eastAsia="ja-JP"/>
        </w:rPr>
        <w:t>link</w:t>
      </w:r>
      <w:r w:rsidR="0025263B">
        <w:rPr>
          <w:rFonts w:eastAsia="Yu Gothic"/>
          <w:i/>
          <w:lang w:eastAsia="ja-JP"/>
        </w:rPr>
        <w:t>Dedicated</w:t>
      </w:r>
      <w:r>
        <w:rPr>
          <w:rFonts w:eastAsia="Yu Gothic"/>
          <w:lang w:eastAsia="ja-JP"/>
        </w:rPr>
        <w:t>).</w:t>
      </w:r>
    </w:p>
    <w:p w14:paraId="63DB1C7F" w14:textId="77777777" w:rsidR="00FE2478" w:rsidRDefault="00FE2478" w:rsidP="00483480">
      <w:pPr>
        <w:spacing w:after="0"/>
        <w:rPr>
          <w:rFonts w:eastAsia="Yu Gothic"/>
          <w:lang w:eastAsia="ja-JP"/>
        </w:rPr>
      </w:pPr>
    </w:p>
    <w:p w14:paraId="1B32D9FB" w14:textId="656143F8" w:rsidR="00795579" w:rsidRDefault="00FE2478" w:rsidP="00483480">
      <w:pPr>
        <w:spacing w:after="0"/>
        <w:rPr>
          <w:rFonts w:eastAsia="Yu Gothic"/>
          <w:lang w:eastAsia="ja-JP"/>
        </w:rPr>
      </w:pPr>
      <w:r w:rsidRPr="00FE2478">
        <w:rPr>
          <w:rFonts w:eastAsia="Yu Gothic"/>
          <w:b/>
          <w:lang w:eastAsia="ja-JP"/>
        </w:rPr>
        <w:t xml:space="preserve">Proposal </w:t>
      </w:r>
      <w:r>
        <w:rPr>
          <w:rFonts w:eastAsia="Yu Gothic"/>
          <w:b/>
          <w:lang w:eastAsia="ja-JP"/>
        </w:rPr>
        <w:t>6</w:t>
      </w:r>
      <w:r w:rsidRPr="00FE2478">
        <w:rPr>
          <w:rFonts w:eastAsia="Yu Gothic"/>
          <w:b/>
          <w:lang w:eastAsia="ja-JP"/>
        </w:rPr>
        <w:t>:</w:t>
      </w:r>
      <w:r>
        <w:rPr>
          <w:rFonts w:eastAsia="Yu Gothic"/>
          <w:lang w:eastAsia="ja-JP"/>
        </w:rPr>
        <w:t xml:space="preserve"> </w:t>
      </w:r>
      <w:r w:rsidR="00A40127">
        <w:rPr>
          <w:rFonts w:eastAsia="Yu Gothic"/>
          <w:lang w:eastAsia="ja-JP"/>
        </w:rPr>
        <w:t xml:space="preserve">UE </w:t>
      </w:r>
      <w:r>
        <w:rPr>
          <w:rFonts w:eastAsia="Yu Gothic"/>
          <w:lang w:eastAsia="ja-JP"/>
        </w:rPr>
        <w:t xml:space="preserve">always </w:t>
      </w:r>
      <w:r w:rsidR="0025263B">
        <w:rPr>
          <w:rFonts w:eastAsia="Yu Gothic"/>
          <w:lang w:eastAsia="ja-JP"/>
        </w:rPr>
        <w:t xml:space="preserve">utilizes </w:t>
      </w:r>
      <w:r>
        <w:rPr>
          <w:rFonts w:eastAsia="Yu Gothic"/>
          <w:lang w:eastAsia="ja-JP"/>
        </w:rPr>
        <w:t xml:space="preserve">only </w:t>
      </w:r>
      <w:r w:rsidR="00A40127">
        <w:rPr>
          <w:rFonts w:eastAsia="Yu Gothic"/>
          <w:lang w:eastAsia="ja-JP"/>
        </w:rPr>
        <w:t xml:space="preserve">the </w:t>
      </w:r>
      <w:r>
        <w:rPr>
          <w:rFonts w:eastAsia="Yu Gothic"/>
          <w:lang w:eastAsia="ja-JP"/>
        </w:rPr>
        <w:t>configuration</w:t>
      </w:r>
      <w:r w:rsidR="0025263B">
        <w:rPr>
          <w:rFonts w:eastAsia="Yu Gothic"/>
          <w:lang w:eastAsia="ja-JP"/>
        </w:rPr>
        <w:t xml:space="preserve"> from the </w:t>
      </w:r>
      <w:r w:rsidR="00A40127">
        <w:rPr>
          <w:rFonts w:eastAsia="Yu Gothic"/>
          <w:lang w:eastAsia="ja-JP"/>
        </w:rPr>
        <w:t>currently active BWP</w:t>
      </w:r>
      <w:r w:rsidR="00772C8A">
        <w:rPr>
          <w:rFonts w:eastAsia="Yu Gothic"/>
          <w:lang w:eastAsia="ja-JP"/>
        </w:rPr>
        <w:t>.</w:t>
      </w:r>
    </w:p>
    <w:p w14:paraId="5F796FD6" w14:textId="77777777" w:rsidR="00CD3E92" w:rsidRDefault="00CD3E92" w:rsidP="00483480">
      <w:pPr>
        <w:spacing w:after="0"/>
        <w:rPr>
          <w:rFonts w:eastAsia="Yu Gothic"/>
          <w:lang w:eastAsia="ja-JP"/>
        </w:rPr>
      </w:pPr>
    </w:p>
    <w:p w14:paraId="7C2CD0BE" w14:textId="04406B13" w:rsidR="00CD3E92" w:rsidRDefault="00CD3E92" w:rsidP="00483480">
      <w:pPr>
        <w:spacing w:after="0"/>
      </w:pPr>
      <w:bookmarkStart w:id="2" w:name="_Hlk1055095"/>
      <w:r>
        <w:t xml:space="preserve">It is also not exactly clear whether all non-initial BWPs </w:t>
      </w:r>
      <w:r w:rsidRPr="00CD3E92">
        <w:rPr>
          <w:b/>
        </w:rPr>
        <w:t>must</w:t>
      </w:r>
      <w:r>
        <w:t xml:space="preserve"> always contain both the common and dedicated configuration parts. To ensure everything understands this in the same way, we would propose to discuss and confirm this in RAN2.</w:t>
      </w:r>
    </w:p>
    <w:p w14:paraId="7A288733" w14:textId="77777777" w:rsidR="00CD3E92" w:rsidRDefault="00CD3E92" w:rsidP="00483480">
      <w:pPr>
        <w:spacing w:after="0"/>
      </w:pPr>
    </w:p>
    <w:p w14:paraId="4BEEB4AA" w14:textId="72C7E852" w:rsidR="00CD3E92" w:rsidRDefault="00CD3E92" w:rsidP="00483480">
      <w:pPr>
        <w:spacing w:after="0"/>
      </w:pPr>
      <w:r w:rsidRPr="00CD3E92">
        <w:rPr>
          <w:b/>
        </w:rPr>
        <w:t>Proposal 7:</w:t>
      </w:r>
      <w:r>
        <w:t xml:space="preserve"> RAN2 to confirm whether BWP 1-4 must always contain both common and dedicated configuration parts.</w:t>
      </w:r>
    </w:p>
    <w:bookmarkEnd w:id="1"/>
    <w:bookmarkEnd w:id="2"/>
    <w:p w14:paraId="43A12B72" w14:textId="5E8567D6" w:rsidR="00CD4C7B" w:rsidRPr="006E13D1" w:rsidRDefault="00172F3A" w:rsidP="00CD4C7B">
      <w:pPr>
        <w:pStyle w:val="Heading1"/>
      </w:pPr>
      <w:r>
        <w:t>3</w:t>
      </w:r>
      <w:r w:rsidR="00CD4C7B" w:rsidRPr="006E13D1">
        <w:tab/>
      </w:r>
      <w:r>
        <w:t>Clarifying the BWP configuration options in specifications</w:t>
      </w:r>
    </w:p>
    <w:p w14:paraId="71CE943A" w14:textId="6D8D913F" w:rsidR="00172F3A" w:rsidRDefault="00CC6F93" w:rsidP="00CD4C7B">
      <w:r>
        <w:t xml:space="preserve">As noted above, the RRC might be clearer in how the BWP configurations work. </w:t>
      </w:r>
      <w:r w:rsidR="007C7875">
        <w:t>There are several ways to clarify the BWP configuration options in RAN2 specifications</w:t>
      </w:r>
      <w:r w:rsidR="004871E6">
        <w:t>, each with their own pros and cons, shown below.</w:t>
      </w:r>
      <w:r w:rsidR="00172F3A">
        <w:t xml:space="preserve"> </w:t>
      </w:r>
    </w:p>
    <w:p w14:paraId="116F51AB" w14:textId="78C2431D" w:rsidR="0010542B" w:rsidRPr="004871E6" w:rsidRDefault="0010542B" w:rsidP="00172F3A">
      <w:pPr>
        <w:pStyle w:val="ListParagraph"/>
        <w:numPr>
          <w:ilvl w:val="0"/>
          <w:numId w:val="10"/>
        </w:numPr>
        <w:rPr>
          <w:b/>
        </w:rPr>
      </w:pPr>
      <w:r w:rsidRPr="004871E6">
        <w:rPr>
          <w:b/>
        </w:rPr>
        <w:t xml:space="preserve">Only RRC field descriptions and ASN.1 conditions capture </w:t>
      </w:r>
      <w:r w:rsidR="004871E6">
        <w:rPr>
          <w:b/>
        </w:rPr>
        <w:t>BWP configuration options</w:t>
      </w:r>
    </w:p>
    <w:p w14:paraId="0CCF69AB" w14:textId="547F71D7" w:rsidR="0010542B" w:rsidRDefault="0010542B" w:rsidP="0010542B">
      <w:pPr>
        <w:pStyle w:val="ListParagraph"/>
        <w:numPr>
          <w:ilvl w:val="1"/>
          <w:numId w:val="10"/>
        </w:numPr>
      </w:pPr>
      <w:r w:rsidRPr="0010542B">
        <w:rPr>
          <w:b/>
        </w:rPr>
        <w:t>Pros:</w:t>
      </w:r>
      <w:r>
        <w:t xml:space="preserve"> Existing mechanism, contains only the necessary things without extra “fluff”, doesn’t create new ambiguities even if something is missing</w:t>
      </w:r>
    </w:p>
    <w:p w14:paraId="383F2850" w14:textId="08EB01D6" w:rsidR="0010542B" w:rsidRDefault="0010542B" w:rsidP="0010542B">
      <w:pPr>
        <w:pStyle w:val="ListParagraph"/>
        <w:numPr>
          <w:ilvl w:val="1"/>
          <w:numId w:val="10"/>
        </w:numPr>
      </w:pPr>
      <w:r w:rsidRPr="0010542B">
        <w:rPr>
          <w:b/>
        </w:rPr>
        <w:t>Cons:</w:t>
      </w:r>
      <w:r>
        <w:t xml:space="preserve"> Doesn’t improve current situation where the options are already unclear, may contribute to difficult IODT issues</w:t>
      </w:r>
    </w:p>
    <w:p w14:paraId="38C1AC7E" w14:textId="0F88416B" w:rsidR="00172F3A" w:rsidRPr="004871E6" w:rsidRDefault="00172F3A" w:rsidP="00172F3A">
      <w:pPr>
        <w:pStyle w:val="ListParagraph"/>
        <w:numPr>
          <w:ilvl w:val="0"/>
          <w:numId w:val="10"/>
        </w:numPr>
        <w:rPr>
          <w:b/>
        </w:rPr>
      </w:pPr>
      <w:r w:rsidRPr="004871E6">
        <w:rPr>
          <w:b/>
        </w:rPr>
        <w:t>Informative annex in RRC</w:t>
      </w:r>
      <w:r w:rsidR="004871E6" w:rsidRPr="004871E6">
        <w:rPr>
          <w:b/>
        </w:rPr>
        <w:t xml:space="preserve"> explains the differences between the BWP configuration options.</w:t>
      </w:r>
    </w:p>
    <w:p w14:paraId="0CB2A59D" w14:textId="65078A58" w:rsidR="00172F3A" w:rsidRDefault="00172F3A" w:rsidP="00172F3A">
      <w:pPr>
        <w:pStyle w:val="ListParagraph"/>
        <w:numPr>
          <w:ilvl w:val="1"/>
          <w:numId w:val="10"/>
        </w:numPr>
      </w:pPr>
      <w:r w:rsidRPr="00172F3A">
        <w:rPr>
          <w:b/>
        </w:rPr>
        <w:lastRenderedPageBreak/>
        <w:t>Pros:</w:t>
      </w:r>
      <w:r>
        <w:t xml:space="preserve"> Simple, doesn’t take precedence over other Stage-3 (to avoid IODT problems), can be more verbose, is contained within ASN.1 specification. </w:t>
      </w:r>
    </w:p>
    <w:p w14:paraId="638C01D5" w14:textId="2078B070" w:rsidR="00172F3A" w:rsidRDefault="00172F3A" w:rsidP="00172F3A">
      <w:pPr>
        <w:pStyle w:val="ListParagraph"/>
        <w:numPr>
          <w:ilvl w:val="1"/>
          <w:numId w:val="10"/>
        </w:numPr>
      </w:pPr>
      <w:r w:rsidRPr="00172F3A">
        <w:rPr>
          <w:b/>
        </w:rPr>
        <w:t>Cons:</w:t>
      </w:r>
      <w:r>
        <w:t xml:space="preserve"> Will not handle everything, may cause further issues if annex is out of sync with Stage-3.</w:t>
      </w:r>
    </w:p>
    <w:p w14:paraId="38B5432D" w14:textId="111C8170" w:rsidR="004871E6" w:rsidRPr="004871E6" w:rsidRDefault="00172F3A" w:rsidP="004871E6">
      <w:pPr>
        <w:pStyle w:val="ListParagraph"/>
        <w:numPr>
          <w:ilvl w:val="0"/>
          <w:numId w:val="10"/>
        </w:numPr>
        <w:rPr>
          <w:b/>
        </w:rPr>
      </w:pPr>
      <w:r w:rsidRPr="004871E6">
        <w:rPr>
          <w:b/>
        </w:rPr>
        <w:t>Normative annex in RRC</w:t>
      </w:r>
      <w:r w:rsidR="004871E6" w:rsidRPr="004871E6">
        <w:rPr>
          <w:b/>
        </w:rPr>
        <w:t xml:space="preserve"> captures the differences between the BWP configuration options.</w:t>
      </w:r>
    </w:p>
    <w:p w14:paraId="2BA4DE63" w14:textId="0639B300" w:rsidR="00172F3A" w:rsidRDefault="00172F3A" w:rsidP="00172F3A">
      <w:pPr>
        <w:pStyle w:val="ListParagraph"/>
        <w:numPr>
          <w:ilvl w:val="1"/>
          <w:numId w:val="10"/>
        </w:numPr>
      </w:pPr>
      <w:r w:rsidRPr="007C7875">
        <w:rPr>
          <w:b/>
        </w:rPr>
        <w:t>Pros:</w:t>
      </w:r>
      <w:r>
        <w:t xml:space="preserve"> Provides normative reference for cases when RRC is unclear, is contai</w:t>
      </w:r>
      <w:r w:rsidR="007C7875">
        <w:t>ned within ASN.1 specification.</w:t>
      </w:r>
    </w:p>
    <w:p w14:paraId="6E94B621" w14:textId="2DC55A45" w:rsidR="007C7875" w:rsidRDefault="007C7875" w:rsidP="00172F3A">
      <w:pPr>
        <w:pStyle w:val="ListParagraph"/>
        <w:numPr>
          <w:ilvl w:val="1"/>
          <w:numId w:val="10"/>
        </w:numPr>
      </w:pPr>
      <w:r w:rsidRPr="007C7875">
        <w:rPr>
          <w:b/>
        </w:rPr>
        <w:t>Cons:</w:t>
      </w:r>
      <w:r>
        <w:t xml:space="preserve"> More complex since it must be accurate and consistent with ASN.1, may cause precedence issues (e.g. on which is “more correct”: Annex or ASN.1?).</w:t>
      </w:r>
    </w:p>
    <w:p w14:paraId="1102D896" w14:textId="37793641" w:rsidR="004871E6" w:rsidRPr="004871E6" w:rsidRDefault="00172F3A" w:rsidP="004871E6">
      <w:pPr>
        <w:pStyle w:val="ListParagraph"/>
        <w:numPr>
          <w:ilvl w:val="0"/>
          <w:numId w:val="10"/>
        </w:numPr>
        <w:rPr>
          <w:b/>
        </w:rPr>
      </w:pPr>
      <w:r w:rsidRPr="004871E6">
        <w:rPr>
          <w:b/>
        </w:rPr>
        <w:t>Stage-2 description in 38.300</w:t>
      </w:r>
      <w:r w:rsidR="004871E6" w:rsidRPr="004871E6">
        <w:rPr>
          <w:b/>
        </w:rPr>
        <w:t xml:space="preserve"> captures the differences between the BWP configuration options.</w:t>
      </w:r>
    </w:p>
    <w:p w14:paraId="6FF478D0" w14:textId="459FDE3F" w:rsidR="007C7875" w:rsidRDefault="007C7875" w:rsidP="007C7875">
      <w:pPr>
        <w:pStyle w:val="ListParagraph"/>
        <w:numPr>
          <w:ilvl w:val="1"/>
          <w:numId w:val="10"/>
        </w:numPr>
      </w:pPr>
      <w:r w:rsidRPr="007C7875">
        <w:rPr>
          <w:b/>
        </w:rPr>
        <w:t>Pros:</w:t>
      </w:r>
      <w:r>
        <w:t xml:space="preserve"> Already has section on BWPs, could contain high-level description, doesn’t need to have many details, is normative.</w:t>
      </w:r>
    </w:p>
    <w:p w14:paraId="669F7953" w14:textId="40232B90" w:rsidR="007C7875" w:rsidRDefault="007C7875" w:rsidP="007C7875">
      <w:pPr>
        <w:pStyle w:val="ListParagraph"/>
        <w:numPr>
          <w:ilvl w:val="1"/>
          <w:numId w:val="10"/>
        </w:numPr>
      </w:pPr>
      <w:r w:rsidRPr="007C7875">
        <w:rPr>
          <w:b/>
        </w:rPr>
        <w:t>Cons:</w:t>
      </w:r>
      <w:r>
        <w:t xml:space="preserve"> Different specification than ASN.1, may be inconsistent, doesn’t resolve issues but may cause them.</w:t>
      </w:r>
    </w:p>
    <w:p w14:paraId="204B05E3" w14:textId="77A54BAC" w:rsidR="004871E6" w:rsidRDefault="004871E6" w:rsidP="004871E6">
      <w:r>
        <w:t>Each one of these options could work, but we consider the alternative 2 (i.e. informative annex) as the best one: It allows RRC (and only RRC) specification to capture the details of the configuration options, while making it also clear that the ASN.1 takes precedence over description text in case errors are found (so any potential IODT issues can be resolved consistently), while still allowing a lot of freedom in how to capture the principal differences of the options. It also allows easier checking of any future extensions to BWPs since the configuration options are clearly included.</w:t>
      </w:r>
    </w:p>
    <w:p w14:paraId="4DFBC75F" w14:textId="6D7EC760" w:rsidR="00F962D7" w:rsidRDefault="00F962D7" w:rsidP="00F962D7">
      <w:r w:rsidRPr="008A6815">
        <w:rPr>
          <w:b/>
        </w:rPr>
        <w:t>P</w:t>
      </w:r>
      <w:r>
        <w:rPr>
          <w:b/>
        </w:rPr>
        <w:t xml:space="preserve">roposal </w:t>
      </w:r>
      <w:r w:rsidR="00CD3E92">
        <w:rPr>
          <w:b/>
        </w:rPr>
        <w:t>8</w:t>
      </w:r>
      <w:r w:rsidRPr="008A6815">
        <w:rPr>
          <w:b/>
        </w:rPr>
        <w:t>:</w:t>
      </w:r>
      <w:r>
        <w:t xml:space="preserve"> RAN2 to create and informative annex in RRC to explain the BWP configuration options.</w:t>
      </w:r>
    </w:p>
    <w:p w14:paraId="3FCCCC6E" w14:textId="327CDB5F" w:rsidR="00172F3A" w:rsidRPr="006E13D1" w:rsidRDefault="0010542B" w:rsidP="00172F3A">
      <w:pPr>
        <w:pStyle w:val="Heading1"/>
      </w:pPr>
      <w:r>
        <w:t>4</w:t>
      </w:r>
      <w:r w:rsidR="00172F3A" w:rsidRPr="006E13D1">
        <w:tab/>
      </w:r>
      <w:r w:rsidR="00172F3A">
        <w:t>Conclusions</w:t>
      </w:r>
    </w:p>
    <w:p w14:paraId="3B77EBB8" w14:textId="79D60800" w:rsidR="00F962D7" w:rsidRDefault="00F962D7" w:rsidP="00172F3A">
      <w:r>
        <w:t>We have discussed the definitions and implications of the BWP configuration options, and observed the following:</w:t>
      </w:r>
      <w:r w:rsidR="00172F3A" w:rsidRPr="006E13D1">
        <w:t xml:space="preserve"> </w:t>
      </w:r>
    </w:p>
    <w:p w14:paraId="70302039" w14:textId="77777777" w:rsidR="001B5AC6" w:rsidRDefault="001B5AC6" w:rsidP="001B5AC6">
      <w:r w:rsidRPr="00884A30">
        <w:rPr>
          <w:b/>
        </w:rPr>
        <w:t>Observation 1:</w:t>
      </w:r>
      <w:r>
        <w:t xml:space="preserve"> The BWP configuration options are only defined via field descriptions in RRC.</w:t>
      </w:r>
    </w:p>
    <w:p w14:paraId="76630735" w14:textId="77777777" w:rsidR="00CC6F93" w:rsidRDefault="00CC6F93" w:rsidP="00CC6F93">
      <w:r>
        <w:rPr>
          <w:b/>
        </w:rPr>
        <w:t>Observation 2</w:t>
      </w:r>
      <w:r w:rsidRPr="0010542B">
        <w:rPr>
          <w:b/>
        </w:rPr>
        <w:t xml:space="preserve">: </w:t>
      </w:r>
      <w:r w:rsidRPr="0010542B">
        <w:t>The BWP c</w:t>
      </w:r>
      <w:r>
        <w:t>onfiguration option 1 is based on separation of BWP#0 (which is common to all UEs) and BWP#1-4 (which can be different for all UEs).</w:t>
      </w:r>
    </w:p>
    <w:p w14:paraId="71CD9A42" w14:textId="1558FABE" w:rsidR="00483480" w:rsidRDefault="00CC6F93" w:rsidP="00CC6F93">
      <w:r w:rsidRPr="00083655">
        <w:rPr>
          <w:b/>
        </w:rPr>
        <w:t xml:space="preserve">Observation </w:t>
      </w:r>
      <w:r>
        <w:rPr>
          <w:b/>
        </w:rPr>
        <w:t>3</w:t>
      </w:r>
      <w:r w:rsidRPr="00083655">
        <w:rPr>
          <w:b/>
        </w:rPr>
        <w:t>:</w:t>
      </w:r>
      <w:r>
        <w:t xml:space="preserve"> BWP#0 configuration is not used </w:t>
      </w:r>
      <w:r w:rsidR="00BA26AA">
        <w:t>if</w:t>
      </w:r>
      <w:r>
        <w:t xml:space="preserve"> the active BWP is either BWP#1 or some other BWP.</w:t>
      </w:r>
    </w:p>
    <w:p w14:paraId="20234771" w14:textId="77777777" w:rsidR="00CC6F93" w:rsidRPr="0010542B" w:rsidRDefault="00CC6F93" w:rsidP="00CC6F93">
      <w:r>
        <w:rPr>
          <w:b/>
        </w:rPr>
        <w:t>Observation 4</w:t>
      </w:r>
      <w:r w:rsidRPr="00884A30">
        <w:rPr>
          <w:b/>
        </w:rPr>
        <w:t>:</w:t>
      </w:r>
      <w:r>
        <w:t xml:space="preserve"> With BWP configuration option 2, only BWP IDs = 0-3 can be used.</w:t>
      </w:r>
    </w:p>
    <w:p w14:paraId="04786E94" w14:textId="77777777" w:rsidR="00CC6F93" w:rsidRDefault="00CC6F93" w:rsidP="00CC6F93">
      <w:r w:rsidRPr="0010542B">
        <w:rPr>
          <w:b/>
        </w:rPr>
        <w:t xml:space="preserve">Observation </w:t>
      </w:r>
      <w:r>
        <w:rPr>
          <w:b/>
        </w:rPr>
        <w:t>5</w:t>
      </w:r>
      <w:r w:rsidRPr="0010542B">
        <w:rPr>
          <w:b/>
        </w:rPr>
        <w:t xml:space="preserve">: </w:t>
      </w:r>
      <w:r w:rsidRPr="0010542B">
        <w:t>The BWP c</w:t>
      </w:r>
      <w:r>
        <w:t>onfiguration option 2 differs from option 1 only with regards to BWP#0 configuration and the maximum number of dedicated BWPs.</w:t>
      </w:r>
    </w:p>
    <w:p w14:paraId="6BD65807" w14:textId="77777777" w:rsidR="00CC6F93" w:rsidRPr="00483480" w:rsidRDefault="00CC6F93" w:rsidP="00483480">
      <w:pPr>
        <w:rPr>
          <w:b/>
        </w:rPr>
      </w:pPr>
      <w:r w:rsidRPr="00483480">
        <w:rPr>
          <w:b/>
        </w:rPr>
        <w:t xml:space="preserve">Observation 6: </w:t>
      </w:r>
      <w:r w:rsidRPr="00483480">
        <w:t>With option 1, it may not be clear whether BWP#0 or BWP#X should use IEs duplicated across both configuration parts.</w:t>
      </w:r>
    </w:p>
    <w:p w14:paraId="428A5B7E" w14:textId="77777777" w:rsidR="00FE2478" w:rsidRDefault="00FE2478" w:rsidP="00FE2478">
      <w:pPr>
        <w:spacing w:after="0"/>
        <w:rPr>
          <w:rFonts w:eastAsia="Yu Gothic"/>
          <w:lang w:eastAsia="ja-JP"/>
        </w:rPr>
      </w:pPr>
      <w:r>
        <w:rPr>
          <w:rFonts w:eastAsia="Yu Gothic"/>
          <w:b/>
          <w:lang w:eastAsia="ja-JP"/>
        </w:rPr>
        <w:t>Observation 7</w:t>
      </w:r>
      <w:r w:rsidRPr="00772C8A">
        <w:rPr>
          <w:rFonts w:eastAsia="Yu Gothic"/>
          <w:b/>
          <w:lang w:eastAsia="ja-JP"/>
        </w:rPr>
        <w:t>:</w:t>
      </w:r>
      <w:r>
        <w:rPr>
          <w:rFonts w:eastAsia="Yu Gothic"/>
          <w:lang w:eastAsia="ja-JP"/>
        </w:rPr>
        <w:t xml:space="preserve"> Each BWP configuration may contain both the common part (i.e. </w:t>
      </w:r>
      <w:r w:rsidRPr="00472C9E">
        <w:rPr>
          <w:rFonts w:eastAsia="Yu Gothic"/>
          <w:i/>
          <w:lang w:eastAsia="ja-JP"/>
        </w:rPr>
        <w:t>BWP-</w:t>
      </w:r>
      <w:r>
        <w:rPr>
          <w:rFonts w:eastAsia="Yu Gothic"/>
          <w:i/>
          <w:lang w:eastAsia="ja-JP"/>
        </w:rPr>
        <w:t>Up/Down</w:t>
      </w:r>
      <w:r w:rsidRPr="00472C9E">
        <w:rPr>
          <w:rFonts w:eastAsia="Yu Gothic"/>
          <w:i/>
          <w:lang w:eastAsia="ja-JP"/>
        </w:rPr>
        <w:t>linkCommon</w:t>
      </w:r>
      <w:r w:rsidRPr="00FE2478">
        <w:rPr>
          <w:rFonts w:eastAsia="Yu Gothic"/>
          <w:lang w:eastAsia="ja-JP"/>
        </w:rPr>
        <w:t>)</w:t>
      </w:r>
      <w:r>
        <w:rPr>
          <w:rFonts w:eastAsia="Yu Gothic"/>
          <w:lang w:eastAsia="ja-JP"/>
        </w:rPr>
        <w:t xml:space="preserve"> and dedicated part (i.e. </w:t>
      </w:r>
      <w:r w:rsidRPr="00472C9E">
        <w:rPr>
          <w:rFonts w:eastAsia="Yu Gothic"/>
          <w:i/>
          <w:lang w:eastAsia="ja-JP"/>
        </w:rPr>
        <w:t>BWP-</w:t>
      </w:r>
      <w:r>
        <w:rPr>
          <w:rFonts w:eastAsia="Yu Gothic"/>
          <w:i/>
          <w:lang w:eastAsia="ja-JP"/>
        </w:rPr>
        <w:t>Up/Down</w:t>
      </w:r>
      <w:r w:rsidRPr="00472C9E">
        <w:rPr>
          <w:rFonts w:eastAsia="Yu Gothic"/>
          <w:i/>
          <w:lang w:eastAsia="ja-JP"/>
        </w:rPr>
        <w:t>link</w:t>
      </w:r>
      <w:r>
        <w:rPr>
          <w:rFonts w:eastAsia="Yu Gothic"/>
          <w:i/>
          <w:lang w:eastAsia="ja-JP"/>
        </w:rPr>
        <w:t>Dedicated</w:t>
      </w:r>
      <w:r>
        <w:rPr>
          <w:rFonts w:eastAsia="Yu Gothic"/>
          <w:lang w:eastAsia="ja-JP"/>
        </w:rPr>
        <w:t>).</w:t>
      </w:r>
    </w:p>
    <w:p w14:paraId="50E4D733" w14:textId="77777777" w:rsidR="00FE2478" w:rsidRDefault="00FE2478" w:rsidP="00FE2478">
      <w:pPr>
        <w:spacing w:after="0"/>
        <w:rPr>
          <w:rFonts w:eastAsia="Yu Gothic"/>
          <w:lang w:eastAsia="ja-JP"/>
        </w:rPr>
      </w:pPr>
    </w:p>
    <w:p w14:paraId="0159D174" w14:textId="77777777" w:rsidR="00FE2478" w:rsidRPr="00F962D7" w:rsidRDefault="00FE2478" w:rsidP="00FE2478">
      <w:r>
        <w:t>Based on these, we have proposed the following:</w:t>
      </w:r>
    </w:p>
    <w:p w14:paraId="18A00B9F" w14:textId="77777777" w:rsidR="00F962D7" w:rsidRDefault="00F962D7" w:rsidP="00F962D7">
      <w:r w:rsidRPr="00884A30">
        <w:rPr>
          <w:b/>
        </w:rPr>
        <w:t>Proposal 1:</w:t>
      </w:r>
      <w:r>
        <w:t xml:space="preserve"> Capture the description and principles of the BWP configuration options in RRC specifications.</w:t>
      </w:r>
    </w:p>
    <w:p w14:paraId="657989AD" w14:textId="77777777" w:rsidR="001B5AC6" w:rsidRDefault="001B5AC6" w:rsidP="00CC6F93">
      <w:r>
        <w:rPr>
          <w:b/>
        </w:rPr>
        <w:t>Proposal 2</w:t>
      </w:r>
      <w:r w:rsidRPr="00884A30">
        <w:rPr>
          <w:b/>
        </w:rPr>
        <w:t>:</w:t>
      </w:r>
      <w:r>
        <w:t xml:space="preserve"> RAN2 confirms that when BWP configuration option 1 is used, the UE follows the configuration within the active BWP (i.e. one of the dedicated BWPs #1-4) and does not utilize the BWP#0 configuration when BWP#0 is not active.</w:t>
      </w:r>
    </w:p>
    <w:p w14:paraId="7DE966D3" w14:textId="04344CF8" w:rsidR="00CC6F93" w:rsidRDefault="00CC6F93" w:rsidP="00CC6F93">
      <w:r>
        <w:rPr>
          <w:b/>
        </w:rPr>
        <w:t>Proposal 3:</w:t>
      </w:r>
      <w:r>
        <w:t xml:space="preserve"> RAN2 confirms that the BWP configuration options 1 and 2 can’t be used for the same UE. </w:t>
      </w:r>
    </w:p>
    <w:p w14:paraId="7E1AAC7A" w14:textId="77777777" w:rsidR="00CC6F93" w:rsidRDefault="00CC6F93" w:rsidP="00CC6F93">
      <w:r w:rsidRPr="00B04BB2">
        <w:rPr>
          <w:b/>
        </w:rPr>
        <w:t>Proposal 4:</w:t>
      </w:r>
      <w:r>
        <w:t xml:space="preserve"> RAN2 confirms that switching between BWP configuration options is possible at least via using RRC reconfiguration with sync.</w:t>
      </w:r>
    </w:p>
    <w:p w14:paraId="652EE525" w14:textId="7558DE20" w:rsidR="001B5AC6" w:rsidRDefault="001B5AC6" w:rsidP="001B5AC6">
      <w:r>
        <w:rPr>
          <w:b/>
        </w:rPr>
        <w:t>Proposal 5</w:t>
      </w:r>
      <w:r w:rsidRPr="00884A30">
        <w:rPr>
          <w:b/>
        </w:rPr>
        <w:t>:</w:t>
      </w:r>
      <w:r>
        <w:t xml:space="preserve"> RAN2 confirms that multiple BWPs are supported with BWP configuration option 2.</w:t>
      </w:r>
    </w:p>
    <w:p w14:paraId="4A68598E" w14:textId="0E6102FF" w:rsidR="00FE2478" w:rsidRDefault="00FE2478" w:rsidP="00FE2478">
      <w:r w:rsidRPr="00FE2478">
        <w:rPr>
          <w:b/>
        </w:rPr>
        <w:t xml:space="preserve">Proposal 6: </w:t>
      </w:r>
      <w:r w:rsidRPr="00FE2478">
        <w:t>UE always utilizes only the configuration from the currently active BWP.</w:t>
      </w:r>
    </w:p>
    <w:p w14:paraId="3ABCB233" w14:textId="2B34D031" w:rsidR="00CD3E92" w:rsidRPr="00FE2478" w:rsidRDefault="00CD3E92" w:rsidP="00FE2478">
      <w:r w:rsidRPr="00CD3E92">
        <w:rPr>
          <w:b/>
        </w:rPr>
        <w:t>Proposal 7:</w:t>
      </w:r>
      <w:r w:rsidRPr="00CD3E92">
        <w:t xml:space="preserve"> RAN2 to confirm whether BWP 1-4 must always contain both common and dedicated configuration parts.</w:t>
      </w:r>
    </w:p>
    <w:p w14:paraId="3AA6916B" w14:textId="076FE8CB" w:rsidR="00F962D7" w:rsidRPr="00FE2478" w:rsidRDefault="00F962D7" w:rsidP="00F962D7">
      <w:pPr>
        <w:rPr>
          <w:b/>
        </w:rPr>
      </w:pPr>
      <w:r w:rsidRPr="00F962D7">
        <w:rPr>
          <w:b/>
        </w:rPr>
        <w:t xml:space="preserve">Proposal </w:t>
      </w:r>
      <w:r w:rsidR="00CD3E92">
        <w:rPr>
          <w:b/>
        </w:rPr>
        <w:t>8</w:t>
      </w:r>
      <w:r w:rsidRPr="00F962D7">
        <w:rPr>
          <w:b/>
        </w:rPr>
        <w:t>:</w:t>
      </w:r>
      <w:r w:rsidRPr="00FE2478">
        <w:rPr>
          <w:b/>
        </w:rPr>
        <w:t xml:space="preserve"> </w:t>
      </w:r>
      <w:r w:rsidRPr="00FE2478">
        <w:t>RAN2 to create and informative annex in RRC to explain the BWP configuration options.</w:t>
      </w:r>
    </w:p>
    <w:p w14:paraId="097BD39E" w14:textId="135E90DC" w:rsidR="00F962D7" w:rsidRDefault="00343E54" w:rsidP="00172F3A">
      <w:r>
        <w:lastRenderedPageBreak/>
        <w:t xml:space="preserve">The Annex A also </w:t>
      </w:r>
      <w:r w:rsidR="00F962D7">
        <w:t>illustrate</w:t>
      </w:r>
      <w:r>
        <w:t>s</w:t>
      </w:r>
      <w:r w:rsidR="00F962D7">
        <w:t xml:space="preserve"> </w:t>
      </w:r>
      <w:r>
        <w:t xml:space="preserve">the proposed </w:t>
      </w:r>
      <w:r w:rsidR="00F962D7">
        <w:t xml:space="preserve">informative annex for RRC based on </w:t>
      </w:r>
      <w:r w:rsidR="00F962D7" w:rsidRPr="00483480">
        <w:rPr>
          <w:b/>
        </w:rPr>
        <w:t xml:space="preserve">proposal </w:t>
      </w:r>
      <w:r w:rsidR="00CC6F93" w:rsidRPr="00483480">
        <w:rPr>
          <w:b/>
        </w:rPr>
        <w:t>7</w:t>
      </w:r>
      <w:r w:rsidR="00BA26AA">
        <w:t xml:space="preserve"> and the corresponding CR based on the above proposals can be found in </w:t>
      </w:r>
      <w:hyperlink r:id="rId17" w:history="1">
        <w:r w:rsidR="00CE15EB" w:rsidRPr="00CE15EB">
          <w:rPr>
            <w:rStyle w:val="Hyperlink"/>
          </w:rPr>
          <w:t>R2-1900349</w:t>
        </w:r>
      </w:hyperlink>
      <w:r w:rsidR="00F962D7" w:rsidRPr="00CE15EB">
        <w:t>.</w:t>
      </w:r>
    </w:p>
    <w:p w14:paraId="09C3A5CD" w14:textId="77777777" w:rsidR="00F962D7" w:rsidRDefault="00F962D7" w:rsidP="00172F3A"/>
    <w:p w14:paraId="2BC78F17" w14:textId="21C930F6" w:rsidR="0010542B" w:rsidRDefault="0010542B" w:rsidP="00CD4C7B"/>
    <w:p w14:paraId="29467089" w14:textId="77777777" w:rsidR="00343E54" w:rsidRDefault="00343E54">
      <w:pPr>
        <w:spacing w:after="0"/>
        <w:rPr>
          <w:rFonts w:ascii="Arial" w:hAnsi="Arial"/>
          <w:sz w:val="36"/>
        </w:rPr>
      </w:pPr>
      <w:bookmarkStart w:id="3" w:name="_Hlk536017986"/>
      <w:r>
        <w:br w:type="page"/>
      </w:r>
    </w:p>
    <w:p w14:paraId="388A7DE8" w14:textId="1DD22B18" w:rsidR="0010542B" w:rsidRPr="006E13D1" w:rsidRDefault="00343E54" w:rsidP="0010542B">
      <w:pPr>
        <w:pStyle w:val="Heading1"/>
      </w:pPr>
      <w:r>
        <w:lastRenderedPageBreak/>
        <w:t xml:space="preserve">Annex A: Proposed </w:t>
      </w:r>
      <w:r w:rsidR="0010542B">
        <w:t>RRC informative annex to clarify the BWP configuration options</w:t>
      </w:r>
    </w:p>
    <w:bookmarkEnd w:id="3"/>
    <w:p w14:paraId="0137F565" w14:textId="3C324D34" w:rsidR="00CE15EB" w:rsidRDefault="00CE15EB" w:rsidP="00CE15EB">
      <w:r>
        <w:t xml:space="preserve">There are two possible ways to configure BWP#0 </w:t>
      </w:r>
      <w:r w:rsidR="00567C3B">
        <w:t xml:space="preserve">(i.e. the initial BWP) </w:t>
      </w:r>
      <w:r>
        <w:t xml:space="preserve">for a UE: </w:t>
      </w:r>
    </w:p>
    <w:p w14:paraId="5ACDDF42" w14:textId="77777777" w:rsidR="00CE15EB" w:rsidRDefault="00CE15EB" w:rsidP="00CE15EB">
      <w:pPr>
        <w:pStyle w:val="ListParagraph"/>
        <w:numPr>
          <w:ilvl w:val="0"/>
          <w:numId w:val="18"/>
        </w:numPr>
      </w:pPr>
      <w:r>
        <w:t xml:space="preserve">Configure </w:t>
      </w:r>
      <w:r w:rsidRPr="00483480">
        <w:rPr>
          <w:i/>
        </w:rPr>
        <w:t>BWP-DownlinkCommon</w:t>
      </w:r>
      <w:r>
        <w:t xml:space="preserve"> and </w:t>
      </w:r>
      <w:r w:rsidRPr="00483480">
        <w:rPr>
          <w:i/>
        </w:rPr>
        <w:t>BWP-UplinkCommon</w:t>
      </w:r>
      <w:r>
        <w:t xml:space="preserve"> in </w:t>
      </w:r>
      <w:r w:rsidRPr="00483480">
        <w:rPr>
          <w:i/>
        </w:rPr>
        <w:t>ServingCellConfigCommon</w:t>
      </w:r>
      <w:r>
        <w:t xml:space="preserve">, but do not configure </w:t>
      </w:r>
      <w:r w:rsidRPr="00483480">
        <w:rPr>
          <w:i/>
        </w:rPr>
        <w:t>BWP-DownlinkDedicated</w:t>
      </w:r>
      <w:r>
        <w:t xml:space="preserve"> or </w:t>
      </w:r>
      <w:r w:rsidRPr="00483480">
        <w:rPr>
          <w:i/>
        </w:rPr>
        <w:t>BWP-UplinkDedicated</w:t>
      </w:r>
      <w:r>
        <w:t xml:space="preserve"> in </w:t>
      </w:r>
      <w:r w:rsidRPr="00483480">
        <w:rPr>
          <w:i/>
        </w:rPr>
        <w:t>ServingCellConfig</w:t>
      </w:r>
      <w:r>
        <w:t xml:space="preserve">. </w:t>
      </w:r>
    </w:p>
    <w:p w14:paraId="26FAD054" w14:textId="77777777" w:rsidR="00CE15EB" w:rsidRDefault="00CE15EB" w:rsidP="00CE15EB">
      <w:pPr>
        <w:pStyle w:val="ListParagraph"/>
        <w:numPr>
          <w:ilvl w:val="0"/>
          <w:numId w:val="18"/>
        </w:numPr>
      </w:pPr>
      <w:r>
        <w:t xml:space="preserve">Configure both </w:t>
      </w:r>
      <w:r w:rsidRPr="00483480">
        <w:rPr>
          <w:i/>
        </w:rPr>
        <w:t>BWP-DownlinkCommon</w:t>
      </w:r>
      <w:r w:rsidRPr="00CC6F93">
        <w:t xml:space="preserve"> and </w:t>
      </w:r>
      <w:r w:rsidRPr="00483480">
        <w:rPr>
          <w:i/>
        </w:rPr>
        <w:t>BWP-UplinkCommon</w:t>
      </w:r>
      <w:r w:rsidRPr="00CC6F93">
        <w:t xml:space="preserve"> in </w:t>
      </w:r>
      <w:r w:rsidRPr="00483480">
        <w:rPr>
          <w:i/>
        </w:rPr>
        <w:t>ServingCellConfigCommon</w:t>
      </w:r>
      <w:r w:rsidRPr="00CC6F93">
        <w:t xml:space="preserve"> and configure </w:t>
      </w:r>
      <w:r>
        <w:t xml:space="preserve">at least one of </w:t>
      </w:r>
      <w:r w:rsidRPr="00483480">
        <w:rPr>
          <w:i/>
        </w:rPr>
        <w:t>BWP-DownlinkDedicated</w:t>
      </w:r>
      <w:r w:rsidRPr="00CC6F93">
        <w:t xml:space="preserve"> or </w:t>
      </w:r>
      <w:r w:rsidRPr="00483480">
        <w:rPr>
          <w:i/>
        </w:rPr>
        <w:t>BWP-UplinkDedicated</w:t>
      </w:r>
      <w:r w:rsidRPr="00CC6F93">
        <w:t xml:space="preserve"> in </w:t>
      </w:r>
      <w:r w:rsidRPr="00483480">
        <w:rPr>
          <w:i/>
        </w:rPr>
        <w:t>ServingCellConfig</w:t>
      </w:r>
      <w:r w:rsidRPr="00CC6F93">
        <w:t xml:space="preserve">. </w:t>
      </w:r>
    </w:p>
    <w:p w14:paraId="7F16F44A" w14:textId="77777777" w:rsidR="00CE15EB" w:rsidRDefault="00CE15EB" w:rsidP="00CE15EB">
      <w:r>
        <w:t>With the first option (illustrated by figure X-1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(e.g. only DCI format 1_0 can be used with BWP#0 without dedicated configuration).</w:t>
      </w:r>
    </w:p>
    <w:p w14:paraId="2EA6A98E" w14:textId="77777777" w:rsidR="00CE15EB" w:rsidRDefault="00CE15EB" w:rsidP="00CE15EB">
      <w:pPr>
        <w:pStyle w:val="TH"/>
      </w:pPr>
      <w:r>
        <w:rPr>
          <w:noProof/>
        </w:rPr>
        <w:drawing>
          <wp:inline distT="0" distB="0" distL="0" distR="0" wp14:anchorId="33F9CC29" wp14:editId="111A005D">
            <wp:extent cx="5970463" cy="10939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9469" cy="1117633"/>
                    </a:xfrm>
                    <a:prstGeom prst="rect">
                      <a:avLst/>
                    </a:prstGeom>
                    <a:noFill/>
                  </pic:spPr>
                </pic:pic>
              </a:graphicData>
            </a:graphic>
          </wp:inline>
        </w:drawing>
      </w:r>
    </w:p>
    <w:p w14:paraId="4AC36B00" w14:textId="77777777" w:rsidR="00CE15EB" w:rsidRDefault="00CE15EB" w:rsidP="00CE15EB">
      <w:pPr>
        <w:pStyle w:val="TF"/>
        <w:rPr>
          <w:i/>
        </w:rPr>
      </w:pPr>
      <w:r w:rsidRPr="00796205">
        <w:t>Figure X-1: BWP</w:t>
      </w:r>
      <w:r>
        <w:t>#0</w:t>
      </w:r>
      <w:r w:rsidRPr="00796205">
        <w:t xml:space="preserve"> configuration </w:t>
      </w:r>
      <w:r>
        <w:t>without dedicated configuration</w:t>
      </w:r>
    </w:p>
    <w:p w14:paraId="45ECC49A" w14:textId="77777777" w:rsidR="00CE15EB" w:rsidRPr="003B59C1" w:rsidRDefault="00CE15EB" w:rsidP="00CE15EB">
      <w:r>
        <w:t xml:space="preserve">With the second option (illustrated by figure X-2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 </w:t>
      </w:r>
    </w:p>
    <w:p w14:paraId="0F1FA030" w14:textId="77777777" w:rsidR="001A27E8" w:rsidRDefault="001A27E8" w:rsidP="001A27E8">
      <w:pPr>
        <w:pStyle w:val="TH"/>
      </w:pPr>
      <w:r>
        <w:rPr>
          <w:noProof/>
        </w:rPr>
        <w:drawing>
          <wp:inline distT="0" distB="0" distL="0" distR="0" wp14:anchorId="4B5116BF" wp14:editId="00E277E7">
            <wp:extent cx="5971186" cy="142487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3125" cy="1437273"/>
                    </a:xfrm>
                    <a:prstGeom prst="rect">
                      <a:avLst/>
                    </a:prstGeom>
                    <a:noFill/>
                  </pic:spPr>
                </pic:pic>
              </a:graphicData>
            </a:graphic>
          </wp:inline>
        </w:drawing>
      </w:r>
    </w:p>
    <w:p w14:paraId="3DC05984" w14:textId="77777777" w:rsidR="00CE15EB" w:rsidRPr="00796205" w:rsidRDefault="00CE15EB" w:rsidP="00CE15EB">
      <w:pPr>
        <w:pStyle w:val="TF"/>
        <w:rPr>
          <w:i/>
        </w:rPr>
      </w:pPr>
      <w:r w:rsidRPr="00796205">
        <w:t xml:space="preserve">Figure </w:t>
      </w:r>
      <w:r>
        <w:t>X-2</w:t>
      </w:r>
      <w:r w:rsidRPr="00796205">
        <w:t>: BWP</w:t>
      </w:r>
      <w:r>
        <w:t>#0</w:t>
      </w:r>
      <w:r w:rsidRPr="00796205">
        <w:t xml:space="preserve"> configuration </w:t>
      </w:r>
      <w:r>
        <w:t>with dedicated configuration</w:t>
      </w:r>
    </w:p>
    <w:p w14:paraId="1736FFA3" w14:textId="77777777" w:rsidR="00CE15EB" w:rsidRDefault="00CE15EB" w:rsidP="00CE15EB">
      <w:r>
        <w:t xml:space="preserve">For BWP#0, the BWP-DownlinkCommon and BWP-UplinkCommon in </w:t>
      </w:r>
      <w:r w:rsidRPr="00483480">
        <w:rPr>
          <w:i/>
        </w:rPr>
        <w:t>ServingCellConfigCommon</w:t>
      </w:r>
      <w:r>
        <w:t xml:space="preserve"> </w:t>
      </w:r>
      <w:r w:rsidRPr="00645E3C">
        <w:rPr>
          <w:szCs w:val="22"/>
          <w:lang w:eastAsia="ja-JP"/>
        </w:rPr>
        <w:t xml:space="preserve">should match the parameters configured by MIB and SIB1 (if provided) </w:t>
      </w:r>
      <w:r>
        <w:rPr>
          <w:szCs w:val="22"/>
          <w:lang w:eastAsia="ja-JP"/>
        </w:rPr>
        <w:t>in</w:t>
      </w:r>
      <w:r w:rsidRPr="00645E3C">
        <w:rPr>
          <w:szCs w:val="22"/>
          <w:lang w:eastAsia="ja-JP"/>
        </w:rPr>
        <w:t xml:space="preserve"> the </w:t>
      </w:r>
      <w:r>
        <w:rPr>
          <w:szCs w:val="22"/>
          <w:lang w:eastAsia="ja-JP"/>
        </w:rPr>
        <w:t xml:space="preserve">corresponding </w:t>
      </w:r>
      <w:r w:rsidRPr="00645E3C">
        <w:rPr>
          <w:szCs w:val="22"/>
          <w:lang w:eastAsia="ja-JP"/>
        </w:rPr>
        <w:t>serving cell</w:t>
      </w:r>
      <w:r>
        <w:t xml:space="preserve">. </w:t>
      </w:r>
    </w:p>
    <w:p w14:paraId="6C154E88" w14:textId="77777777" w:rsidR="00796205" w:rsidRDefault="00796205" w:rsidP="0010542B"/>
    <w:sectPr w:rsidR="0079620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F9931" w14:textId="77777777" w:rsidR="00965333" w:rsidRDefault="00965333">
      <w:r>
        <w:separator/>
      </w:r>
    </w:p>
  </w:endnote>
  <w:endnote w:type="continuationSeparator" w:id="0">
    <w:p w14:paraId="36B0F3D7" w14:textId="77777777" w:rsidR="00965333" w:rsidRDefault="0096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330FF" w14:textId="77777777" w:rsidR="00965333" w:rsidRDefault="00965333">
      <w:r>
        <w:separator/>
      </w:r>
    </w:p>
  </w:footnote>
  <w:footnote w:type="continuationSeparator" w:id="0">
    <w:p w14:paraId="4B54E47C" w14:textId="77777777" w:rsidR="00965333" w:rsidRDefault="0096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9762B"/>
    <w:multiLevelType w:val="hybridMultilevel"/>
    <w:tmpl w:val="600AF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5C7645"/>
    <w:multiLevelType w:val="hybridMultilevel"/>
    <w:tmpl w:val="14043E74"/>
    <w:lvl w:ilvl="0" w:tplc="221C0FD0">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F7C27"/>
    <w:multiLevelType w:val="hybridMultilevel"/>
    <w:tmpl w:val="4F64383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EC5F92"/>
    <w:multiLevelType w:val="hybridMultilevel"/>
    <w:tmpl w:val="331AE41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A9413D"/>
    <w:multiLevelType w:val="hybridMultilevel"/>
    <w:tmpl w:val="7F5671AE"/>
    <w:lvl w:ilvl="0" w:tplc="4662B1D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3A7ED0"/>
    <w:multiLevelType w:val="hybridMultilevel"/>
    <w:tmpl w:val="7F6A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A05D40"/>
    <w:multiLevelType w:val="hybridMultilevel"/>
    <w:tmpl w:val="F4B43F64"/>
    <w:lvl w:ilvl="0" w:tplc="FFD05532">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4153C10"/>
    <w:multiLevelType w:val="hybridMultilevel"/>
    <w:tmpl w:val="03007436"/>
    <w:lvl w:ilvl="0" w:tplc="221C0FD0">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F82E3C"/>
    <w:multiLevelType w:val="hybridMultilevel"/>
    <w:tmpl w:val="F2D4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1A2AC5"/>
    <w:multiLevelType w:val="hybridMultilevel"/>
    <w:tmpl w:val="331AE41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D7E9E"/>
    <w:multiLevelType w:val="hybridMultilevel"/>
    <w:tmpl w:val="CBB0DE78"/>
    <w:lvl w:ilvl="0" w:tplc="74F2F14E">
      <w:start w:val="1"/>
      <w:numFmt w:val="bullet"/>
      <w:lvlText w:val="-"/>
      <w:lvlJc w:val="left"/>
      <w:pPr>
        <w:ind w:left="720" w:hanging="360"/>
      </w:pPr>
      <w:rPr>
        <w:rFonts w:ascii="Calibri" w:eastAsia="Yu Gothic" w:hAnsi="Calibri" w:cs="Calibri"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10"/>
  </w:num>
  <w:num w:numId="7">
    <w:abstractNumId w:val="9"/>
  </w:num>
  <w:num w:numId="8">
    <w:abstractNumId w:val="8"/>
  </w:num>
  <w:num w:numId="9">
    <w:abstractNumId w:val="12"/>
  </w:num>
  <w:num w:numId="10">
    <w:abstractNumId w:val="7"/>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13"/>
  </w:num>
  <w:num w:numId="16">
    <w:abstractNumId w:val="11"/>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C6F"/>
    <w:rsid w:val="00033397"/>
    <w:rsid w:val="0003792E"/>
    <w:rsid w:val="00040095"/>
    <w:rsid w:val="00051D63"/>
    <w:rsid w:val="00080512"/>
    <w:rsid w:val="00083655"/>
    <w:rsid w:val="00090468"/>
    <w:rsid w:val="000B7BCF"/>
    <w:rsid w:val="000C522B"/>
    <w:rsid w:val="000D58AB"/>
    <w:rsid w:val="0010542B"/>
    <w:rsid w:val="00112F1A"/>
    <w:rsid w:val="00145075"/>
    <w:rsid w:val="00172F3A"/>
    <w:rsid w:val="001741A0"/>
    <w:rsid w:val="00175FA0"/>
    <w:rsid w:val="00194CD0"/>
    <w:rsid w:val="001A27E8"/>
    <w:rsid w:val="001B49C9"/>
    <w:rsid w:val="001B5AC6"/>
    <w:rsid w:val="001C4F79"/>
    <w:rsid w:val="001F168B"/>
    <w:rsid w:val="001F7831"/>
    <w:rsid w:val="00204045"/>
    <w:rsid w:val="0020712B"/>
    <w:rsid w:val="0022606D"/>
    <w:rsid w:val="00231728"/>
    <w:rsid w:val="0025263B"/>
    <w:rsid w:val="002610D8"/>
    <w:rsid w:val="002747EC"/>
    <w:rsid w:val="002855BF"/>
    <w:rsid w:val="002E7913"/>
    <w:rsid w:val="002F0D22"/>
    <w:rsid w:val="003172DC"/>
    <w:rsid w:val="00325AE3"/>
    <w:rsid w:val="00326069"/>
    <w:rsid w:val="00343E54"/>
    <w:rsid w:val="0035462D"/>
    <w:rsid w:val="00364B41"/>
    <w:rsid w:val="003A1105"/>
    <w:rsid w:val="003A41EF"/>
    <w:rsid w:val="003B40AD"/>
    <w:rsid w:val="003B59C1"/>
    <w:rsid w:val="003C4E37"/>
    <w:rsid w:val="003E16BE"/>
    <w:rsid w:val="003F4E28"/>
    <w:rsid w:val="004006E8"/>
    <w:rsid w:val="00401855"/>
    <w:rsid w:val="00465587"/>
    <w:rsid w:val="00472C9E"/>
    <w:rsid w:val="00477455"/>
    <w:rsid w:val="00480D82"/>
    <w:rsid w:val="004828B0"/>
    <w:rsid w:val="00483480"/>
    <w:rsid w:val="004871E6"/>
    <w:rsid w:val="004A1F7B"/>
    <w:rsid w:val="004C44D2"/>
    <w:rsid w:val="004D3578"/>
    <w:rsid w:val="004D380D"/>
    <w:rsid w:val="004E213A"/>
    <w:rsid w:val="00503171"/>
    <w:rsid w:val="005041C3"/>
    <w:rsid w:val="00506C28"/>
    <w:rsid w:val="00534DA0"/>
    <w:rsid w:val="00543E6C"/>
    <w:rsid w:val="00565087"/>
    <w:rsid w:val="0056573F"/>
    <w:rsid w:val="00567C3B"/>
    <w:rsid w:val="005E2A28"/>
    <w:rsid w:val="00611566"/>
    <w:rsid w:val="00616F28"/>
    <w:rsid w:val="00646D99"/>
    <w:rsid w:val="00656910"/>
    <w:rsid w:val="006772E2"/>
    <w:rsid w:val="006A126E"/>
    <w:rsid w:val="006C66D8"/>
    <w:rsid w:val="006D1E24"/>
    <w:rsid w:val="006E1417"/>
    <w:rsid w:val="006F6A2C"/>
    <w:rsid w:val="00705595"/>
    <w:rsid w:val="00710201"/>
    <w:rsid w:val="007342B5"/>
    <w:rsid w:val="00734A5B"/>
    <w:rsid w:val="00744E76"/>
    <w:rsid w:val="00757D40"/>
    <w:rsid w:val="00772C8A"/>
    <w:rsid w:val="00781F0F"/>
    <w:rsid w:val="0078727C"/>
    <w:rsid w:val="0079049D"/>
    <w:rsid w:val="00793DC5"/>
    <w:rsid w:val="00795579"/>
    <w:rsid w:val="00796205"/>
    <w:rsid w:val="007B18D8"/>
    <w:rsid w:val="007C095F"/>
    <w:rsid w:val="007C2DD0"/>
    <w:rsid w:val="007C7875"/>
    <w:rsid w:val="007E61E7"/>
    <w:rsid w:val="008028A4"/>
    <w:rsid w:val="00813245"/>
    <w:rsid w:val="00820FF3"/>
    <w:rsid w:val="00821945"/>
    <w:rsid w:val="008768CA"/>
    <w:rsid w:val="00877EF9"/>
    <w:rsid w:val="00880559"/>
    <w:rsid w:val="00884A30"/>
    <w:rsid w:val="008A6815"/>
    <w:rsid w:val="008B5306"/>
    <w:rsid w:val="008C55A7"/>
    <w:rsid w:val="008D2E4D"/>
    <w:rsid w:val="008F396F"/>
    <w:rsid w:val="0090271F"/>
    <w:rsid w:val="00902DB9"/>
    <w:rsid w:val="0090466A"/>
    <w:rsid w:val="00936071"/>
    <w:rsid w:val="00940212"/>
    <w:rsid w:val="00942EC2"/>
    <w:rsid w:val="00961B32"/>
    <w:rsid w:val="00962509"/>
    <w:rsid w:val="00965333"/>
    <w:rsid w:val="00970DB3"/>
    <w:rsid w:val="00974BB0"/>
    <w:rsid w:val="00995E64"/>
    <w:rsid w:val="009A0AF3"/>
    <w:rsid w:val="009B07CD"/>
    <w:rsid w:val="009C19E9"/>
    <w:rsid w:val="009D74A6"/>
    <w:rsid w:val="009E02D9"/>
    <w:rsid w:val="00A10F02"/>
    <w:rsid w:val="00A204CA"/>
    <w:rsid w:val="00A40127"/>
    <w:rsid w:val="00A53724"/>
    <w:rsid w:val="00A82346"/>
    <w:rsid w:val="00A9671C"/>
    <w:rsid w:val="00AA1553"/>
    <w:rsid w:val="00AB551C"/>
    <w:rsid w:val="00AF0E36"/>
    <w:rsid w:val="00B04BB2"/>
    <w:rsid w:val="00B05380"/>
    <w:rsid w:val="00B05962"/>
    <w:rsid w:val="00B15449"/>
    <w:rsid w:val="00B27303"/>
    <w:rsid w:val="00B47FD1"/>
    <w:rsid w:val="00B516BB"/>
    <w:rsid w:val="00B84DB2"/>
    <w:rsid w:val="00B85EEF"/>
    <w:rsid w:val="00BA26AA"/>
    <w:rsid w:val="00BB3E75"/>
    <w:rsid w:val="00BC3555"/>
    <w:rsid w:val="00C12B51"/>
    <w:rsid w:val="00C24650"/>
    <w:rsid w:val="00C25465"/>
    <w:rsid w:val="00C33079"/>
    <w:rsid w:val="00C83A13"/>
    <w:rsid w:val="00C9068C"/>
    <w:rsid w:val="00C92967"/>
    <w:rsid w:val="00C94CEA"/>
    <w:rsid w:val="00CA3D0C"/>
    <w:rsid w:val="00CA654B"/>
    <w:rsid w:val="00CB72B8"/>
    <w:rsid w:val="00CC6F93"/>
    <w:rsid w:val="00CD3E92"/>
    <w:rsid w:val="00CD4C7B"/>
    <w:rsid w:val="00CE15EB"/>
    <w:rsid w:val="00CF5780"/>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2847"/>
    <w:rsid w:val="00E46C08"/>
    <w:rsid w:val="00E471CF"/>
    <w:rsid w:val="00E567DC"/>
    <w:rsid w:val="00E62835"/>
    <w:rsid w:val="00E77645"/>
    <w:rsid w:val="00E83697"/>
    <w:rsid w:val="00EC4A25"/>
    <w:rsid w:val="00EF00DF"/>
    <w:rsid w:val="00F025A2"/>
    <w:rsid w:val="00F07388"/>
    <w:rsid w:val="00F139E9"/>
    <w:rsid w:val="00F2026E"/>
    <w:rsid w:val="00F2210A"/>
    <w:rsid w:val="00F37743"/>
    <w:rsid w:val="00F54A3D"/>
    <w:rsid w:val="00F54CB0"/>
    <w:rsid w:val="00F61197"/>
    <w:rsid w:val="00F653B8"/>
    <w:rsid w:val="00F71B89"/>
    <w:rsid w:val="00F7353C"/>
    <w:rsid w:val="00F76F8F"/>
    <w:rsid w:val="00F930FF"/>
    <w:rsid w:val="00F941DF"/>
    <w:rsid w:val="00F962D7"/>
    <w:rsid w:val="00FA1266"/>
    <w:rsid w:val="00FB36FA"/>
    <w:rsid w:val="00FC1192"/>
    <w:rsid w:val="00FE247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C6F9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72F3A"/>
    <w:pPr>
      <w:ind w:left="720"/>
      <w:contextualSpacing/>
    </w:pPr>
  </w:style>
  <w:style w:type="character" w:styleId="UnresolvedMention">
    <w:name w:val="Unresolved Mention"/>
    <w:basedOn w:val="DefaultParagraphFont"/>
    <w:rsid w:val="00E567DC"/>
    <w:rPr>
      <w:color w:val="808080"/>
      <w:shd w:val="clear" w:color="auto" w:fill="E6E6E6"/>
    </w:rPr>
  </w:style>
  <w:style w:type="paragraph" w:styleId="Caption">
    <w:name w:val="caption"/>
    <w:basedOn w:val="Normal"/>
    <w:next w:val="Normal"/>
    <w:unhideWhenUsed/>
    <w:qFormat/>
    <w:rsid w:val="00796205"/>
    <w:pPr>
      <w:spacing w:after="200"/>
    </w:pPr>
    <w:rPr>
      <w:i/>
      <w:iCs/>
      <w:color w:val="44546A" w:themeColor="text2"/>
      <w:sz w:val="18"/>
      <w:szCs w:val="18"/>
    </w:rPr>
  </w:style>
  <w:style w:type="character" w:styleId="CommentReference">
    <w:name w:val="annotation reference"/>
    <w:basedOn w:val="DefaultParagraphFont"/>
    <w:rsid w:val="00C94CEA"/>
    <w:rPr>
      <w:sz w:val="16"/>
      <w:szCs w:val="16"/>
    </w:rPr>
  </w:style>
  <w:style w:type="paragraph" w:styleId="CommentText">
    <w:name w:val="annotation text"/>
    <w:basedOn w:val="Normal"/>
    <w:link w:val="CommentTextChar"/>
    <w:rsid w:val="00C94CEA"/>
  </w:style>
  <w:style w:type="character" w:customStyle="1" w:styleId="CommentTextChar">
    <w:name w:val="Comment Text Char"/>
    <w:basedOn w:val="DefaultParagraphFont"/>
    <w:link w:val="CommentText"/>
    <w:rsid w:val="00C94CEA"/>
    <w:rPr>
      <w:lang w:eastAsia="en-US"/>
    </w:rPr>
  </w:style>
  <w:style w:type="paragraph" w:styleId="CommentSubject">
    <w:name w:val="annotation subject"/>
    <w:basedOn w:val="CommentText"/>
    <w:next w:val="CommentText"/>
    <w:link w:val="CommentSubjectChar"/>
    <w:rsid w:val="00C94CEA"/>
    <w:rPr>
      <w:b/>
      <w:bCs/>
    </w:rPr>
  </w:style>
  <w:style w:type="character" w:customStyle="1" w:styleId="CommentSubjectChar">
    <w:name w:val="Comment Subject Char"/>
    <w:basedOn w:val="CommentTextChar"/>
    <w:link w:val="CommentSubject"/>
    <w:rsid w:val="00C94CE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7859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0163343">
      <w:bodyDiv w:val="1"/>
      <w:marLeft w:val="0"/>
      <w:marRight w:val="0"/>
      <w:marTop w:val="0"/>
      <w:marBottom w:val="0"/>
      <w:divBdr>
        <w:top w:val="none" w:sz="0" w:space="0" w:color="auto"/>
        <w:left w:val="none" w:sz="0" w:space="0" w:color="auto"/>
        <w:bottom w:val="none" w:sz="0" w:space="0" w:color="auto"/>
        <w:right w:val="none" w:sz="0" w:space="0" w:color="auto"/>
      </w:divBdr>
    </w:div>
    <w:div w:id="1871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2/Docs/R2-1807390.zip"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05/Docs/R2-1900349.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5AIRPNAIUNRU-859666464-4566</_dlc_DocId>
    <_dlc_DocIdUrl xmlns="71c5aaf6-e6ce-465b-b873-5148d2a4c105">
      <Url>https://nokia.sharepoint.com/sites/c5g/e2earch/_layouts/15/DocIdRedir.aspx?ID=5AIRPNAIUNRU-859666464-4566</Url>
      <Description>5AIRPNAIUNRU-859666464-4566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1DB62EE-4ECF-4535-AB26-508E6712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381</TotalTime>
  <Pages>6</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23</cp:revision>
  <dcterms:created xsi:type="dcterms:W3CDTF">2019-01-15T14:33:00Z</dcterms:created>
  <dcterms:modified xsi:type="dcterms:W3CDTF">2019-02-14T18:17:00Z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b6f1a926-0718-4d67-bd60-6435b6fbabe6</vt:lpwstr>
  </property>
</Properties>
</file>